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A44A48">
      <w:pPr>
        <w:spacing w:before="88" w:line="245" w:lineRule="auto"/>
        <w:ind w:right="281"/>
        <w:jc w:val="center"/>
        <w:outlineLvl w:val="0"/>
        <w:rPr>
          <w:rFonts w:hint="eastAsia" w:ascii="方正小标宋简体" w:hAnsi="方正小标宋简体" w:eastAsia="方正小标宋简体" w:cs="方正小标宋简体"/>
          <w:color w:val="auto"/>
          <w:spacing w:val="10"/>
          <w:sz w:val="44"/>
          <w:szCs w:val="44"/>
          <w:lang w:eastAsia="zh-CN"/>
          <w14:textOutline w14:w="7975" w14:cap="sq">
            <w14:solidFill>
              <w14:srgbClr w14:val="000000"/>
            </w14:solidFill>
            <w14:prstDash w14:val="solid"/>
            <w14:bevel/>
          </w14:textOutline>
        </w:rPr>
      </w:pPr>
      <w:r>
        <w:rPr>
          <w:rFonts w:hint="eastAsia" w:ascii="方正小标宋简体" w:hAnsi="方正小标宋简体" w:eastAsia="方正小标宋简体" w:cs="方正小标宋简体"/>
          <w:color w:val="auto"/>
          <w:spacing w:val="10"/>
          <w:sz w:val="44"/>
          <w:szCs w:val="44"/>
          <w:lang w:eastAsia="zh-CN"/>
          <w14:textOutline w14:w="7975" w14:cap="sq">
            <w14:solidFill>
              <w14:srgbClr w14:val="000000"/>
            </w14:solidFill>
            <w14:prstDash w14:val="solid"/>
            <w14:bevel/>
          </w14:textOutline>
        </w:rPr>
        <w:t>土木工程学院研究生奖助金评审细则</w:t>
      </w:r>
    </w:p>
    <w:p w14:paraId="0D2F6DDE">
      <w:pPr>
        <w:spacing w:before="88" w:line="245" w:lineRule="auto"/>
        <w:ind w:right="281"/>
        <w:jc w:val="center"/>
        <w:outlineLvl w:val="0"/>
        <w:rPr>
          <w:rFonts w:hint="eastAsia" w:ascii="仿宋_GB2312" w:hAnsi="仿宋_GB2312" w:eastAsia="仿宋_GB2312" w:cs="仿宋_GB2312"/>
          <w:b w:val="0"/>
          <w:bCs w:val="0"/>
          <w:snapToGrid w:val="0"/>
          <w:color w:val="auto"/>
          <w:spacing w:val="4"/>
          <w:sz w:val="32"/>
          <w:szCs w:val="32"/>
          <w:lang w:val="en-US" w:eastAsia="zh-CN" w:bidi="ar-SA"/>
        </w:rPr>
      </w:pPr>
      <w:r>
        <w:rPr>
          <w:rFonts w:hint="eastAsia" w:ascii="仿宋_GB2312" w:hAnsi="仿宋_GB2312" w:eastAsia="仿宋_GB2312" w:cs="仿宋_GB2312"/>
          <w:b w:val="0"/>
          <w:bCs w:val="0"/>
          <w:snapToGrid w:val="0"/>
          <w:color w:val="auto"/>
          <w:spacing w:val="4"/>
          <w:sz w:val="32"/>
          <w:szCs w:val="32"/>
          <w:lang w:val="en-US" w:eastAsia="zh-CN" w:bidi="ar-SA"/>
        </w:rPr>
        <w:t>（2025年11月修订）</w:t>
      </w:r>
    </w:p>
    <w:p w14:paraId="00F38BA7">
      <w:pPr>
        <w:widowControl w:val="0"/>
        <w:kinsoku/>
        <w:autoSpaceDE/>
        <w:autoSpaceDN/>
        <w:adjustRightInd w:val="0"/>
        <w:snapToGrid w:val="0"/>
        <w:spacing w:line="540" w:lineRule="exact"/>
        <w:jc w:val="both"/>
        <w:textAlignment w:val="auto"/>
        <w:outlineLvl w:val="0"/>
        <w:rPr>
          <w:rFonts w:hint="eastAsia" w:ascii="Times New Roman" w:hAnsi="Times New Roman" w:eastAsia="黑体" w:cs="Times New Roman"/>
          <w:bCs/>
          <w:snapToGrid w:val="0"/>
          <w:kern w:val="2"/>
          <w:sz w:val="32"/>
          <w:szCs w:val="44"/>
          <w:lang w:eastAsia="zh-CN"/>
        </w:rPr>
      </w:pPr>
    </w:p>
    <w:p w14:paraId="1A41272A">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outlineLvl w:val="0"/>
        <w:rPr>
          <w:rFonts w:hint="eastAsia" w:ascii="Times New Roman" w:hAnsi="Times New Roman" w:eastAsia="黑体" w:cs="Times New Roman"/>
          <w:bCs/>
          <w:snapToGrid w:val="0"/>
          <w:kern w:val="2"/>
          <w:sz w:val="32"/>
          <w:szCs w:val="44"/>
          <w:lang w:eastAsia="zh-CN"/>
        </w:rPr>
      </w:pPr>
      <w:r>
        <w:rPr>
          <w:rFonts w:hint="eastAsia" w:ascii="Times New Roman" w:hAnsi="Times New Roman" w:eastAsia="黑体" w:cs="Times New Roman"/>
          <w:bCs/>
          <w:snapToGrid w:val="0"/>
          <w:kern w:val="2"/>
          <w:sz w:val="32"/>
          <w:szCs w:val="44"/>
          <w:lang w:eastAsia="zh-CN"/>
        </w:rPr>
        <w:t>第一章 总则</w:t>
      </w:r>
    </w:p>
    <w:p w14:paraId="50883127">
      <w:pPr>
        <w:pStyle w:val="3"/>
        <w:keepNext w:val="0"/>
        <w:keepLines w:val="0"/>
        <w:pageBreakBefore w:val="0"/>
        <w:wordWrap/>
        <w:overflowPunct/>
        <w:topLinePunct w:val="0"/>
        <w:bidi w:val="0"/>
        <w:adjustRightInd w:val="0"/>
        <w:snapToGrid w:val="0"/>
        <w:spacing w:before="160" w:line="540" w:lineRule="exact"/>
        <w:ind w:right="49" w:firstLine="654"/>
        <w:jc w:val="both"/>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bCs/>
          <w:snapToGrid/>
          <w:color w:val="auto"/>
          <w:sz w:val="32"/>
          <w:szCs w:val="32"/>
          <w:lang w:val="en-US" w:eastAsia="zh-CN" w:bidi="ar-SA"/>
        </w:rPr>
        <w:t>第一条</w:t>
      </w:r>
      <w:r>
        <w:rPr>
          <w:rFonts w:hint="eastAsia" w:ascii="仿宋_GB2312" w:hAnsi="仿宋_GB2312" w:eastAsia="仿宋_GB2312" w:cs="仿宋_GB2312"/>
          <w:b w:val="0"/>
          <w:bCs w:val="0"/>
          <w:color w:val="auto"/>
          <w:spacing w:val="148"/>
          <w:sz w:val="32"/>
          <w:szCs w:val="32"/>
          <w:lang w:eastAsia="zh-CN"/>
        </w:rPr>
        <w:t xml:space="preserve"> </w:t>
      </w:r>
      <w:r>
        <w:rPr>
          <w:rFonts w:hint="eastAsia" w:ascii="仿宋_GB2312" w:hAnsi="仿宋_GB2312" w:eastAsia="仿宋_GB2312" w:cs="仿宋_GB2312"/>
          <w:b w:val="0"/>
          <w:bCs w:val="0"/>
          <w:color w:val="auto"/>
          <w:spacing w:val="4"/>
          <w:sz w:val="32"/>
          <w:szCs w:val="32"/>
          <w:lang w:eastAsia="zh-CN"/>
        </w:rPr>
        <w:t>为落实立德树人根本</w:t>
      </w:r>
      <w:r>
        <w:rPr>
          <w:rFonts w:hint="eastAsia" w:ascii="仿宋_GB2312" w:hAnsi="仿宋_GB2312" w:eastAsia="仿宋_GB2312" w:cs="仿宋_GB2312"/>
          <w:b w:val="0"/>
          <w:bCs w:val="0"/>
          <w:color w:val="auto"/>
          <w:spacing w:val="7"/>
          <w:sz w:val="32"/>
          <w:szCs w:val="32"/>
          <w:lang w:eastAsia="zh-CN"/>
        </w:rPr>
        <w:t>任务，</w:t>
      </w:r>
      <w:r>
        <w:rPr>
          <w:rFonts w:hint="eastAsia" w:ascii="仿宋_GB2312" w:hAnsi="仿宋_GB2312" w:eastAsia="仿宋_GB2312" w:cs="仿宋_GB2312"/>
          <w:b w:val="0"/>
          <w:bCs w:val="0"/>
          <w:color w:val="auto"/>
          <w:spacing w:val="4"/>
          <w:sz w:val="32"/>
          <w:szCs w:val="32"/>
          <w:lang w:eastAsia="zh-CN"/>
        </w:rPr>
        <w:t>促进学生德、智、体、美、劳全面发展，根据《中山大学研究生</w:t>
      </w:r>
      <w:r>
        <w:rPr>
          <w:rFonts w:hint="eastAsia" w:ascii="仿宋_GB2312" w:hAnsi="仿宋_GB2312" w:eastAsia="仿宋_GB2312" w:cs="仿宋_GB2312"/>
          <w:b w:val="0"/>
          <w:bCs w:val="0"/>
          <w:color w:val="auto"/>
          <w:spacing w:val="10"/>
          <w:sz w:val="32"/>
          <w:szCs w:val="32"/>
          <w:lang w:eastAsia="zh-CN"/>
        </w:rPr>
        <w:t>奖助规定》</w:t>
      </w:r>
      <w:r>
        <w:rPr>
          <w:rFonts w:hint="eastAsia" w:ascii="仿宋_GB2312" w:hAnsi="仿宋_GB2312" w:eastAsia="仿宋_GB2312" w:cs="仿宋_GB2312"/>
          <w:b w:val="0"/>
          <w:bCs w:val="0"/>
          <w:color w:val="auto"/>
          <w:spacing w:val="-127"/>
          <w:sz w:val="32"/>
          <w:szCs w:val="32"/>
          <w:lang w:eastAsia="zh-CN"/>
        </w:rPr>
        <w:t xml:space="preserve"> </w:t>
      </w:r>
      <w:r>
        <w:rPr>
          <w:rFonts w:hint="eastAsia" w:ascii="仿宋_GB2312" w:hAnsi="仿宋_GB2312" w:eastAsia="仿宋_GB2312" w:cs="仿宋_GB2312"/>
          <w:b w:val="0"/>
          <w:bCs w:val="0"/>
          <w:color w:val="auto"/>
          <w:spacing w:val="10"/>
          <w:sz w:val="32"/>
          <w:szCs w:val="32"/>
          <w:lang w:eastAsia="zh-CN"/>
        </w:rPr>
        <w:t>等相关文件精神，结合学院实际，制</w:t>
      </w:r>
      <w:r>
        <w:rPr>
          <w:rFonts w:hint="eastAsia" w:ascii="仿宋_GB2312" w:hAnsi="仿宋_GB2312" w:eastAsia="仿宋_GB2312" w:cs="仿宋_GB2312"/>
          <w:b w:val="0"/>
          <w:bCs w:val="0"/>
          <w:color w:val="auto"/>
          <w:spacing w:val="2"/>
          <w:sz w:val="32"/>
          <w:szCs w:val="32"/>
          <w:lang w:eastAsia="zh-CN"/>
        </w:rPr>
        <w:t>定本细则。</w:t>
      </w:r>
    </w:p>
    <w:p w14:paraId="13D281AC">
      <w:pPr>
        <w:pStyle w:val="3"/>
        <w:keepNext w:val="0"/>
        <w:keepLines w:val="0"/>
        <w:pageBreakBefore w:val="0"/>
        <w:wordWrap/>
        <w:overflowPunct/>
        <w:topLinePunct w:val="0"/>
        <w:bidi w:val="0"/>
        <w:adjustRightInd w:val="0"/>
        <w:snapToGrid w:val="0"/>
        <w:spacing w:before="155" w:line="540" w:lineRule="exact"/>
        <w:ind w:left="2" w:firstLine="653"/>
        <w:jc w:val="both"/>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bCs/>
          <w:snapToGrid/>
          <w:color w:val="auto"/>
          <w:sz w:val="32"/>
          <w:szCs w:val="32"/>
          <w:lang w:val="en-US" w:eastAsia="zh-CN" w:bidi="ar-SA"/>
        </w:rPr>
        <w:t xml:space="preserve">第二条  </w:t>
      </w:r>
      <w:r>
        <w:rPr>
          <w:rFonts w:hint="eastAsia" w:ascii="仿宋_GB2312" w:hAnsi="仿宋_GB2312" w:eastAsia="仿宋_GB2312" w:cs="仿宋_GB2312"/>
          <w:b w:val="0"/>
          <w:bCs w:val="0"/>
          <w:color w:val="auto"/>
          <w:spacing w:val="18"/>
          <w:sz w:val="32"/>
          <w:szCs w:val="32"/>
          <w:lang w:eastAsia="zh-CN"/>
        </w:rPr>
        <w:t>本细则适用对象为我院纳入全国研究生招生计划且在基</w:t>
      </w:r>
      <w:r>
        <w:rPr>
          <w:rFonts w:hint="eastAsia" w:ascii="仿宋_GB2312" w:hAnsi="仿宋_GB2312" w:eastAsia="仿宋_GB2312" w:cs="仿宋_GB2312"/>
          <w:b w:val="0"/>
          <w:bCs w:val="0"/>
          <w:color w:val="auto"/>
          <w:spacing w:val="-2"/>
          <w:sz w:val="32"/>
          <w:szCs w:val="32"/>
          <w:lang w:eastAsia="zh-CN"/>
        </w:rPr>
        <w:t>本修业年限内的全日制博士、硕士研究生</w:t>
      </w:r>
      <w:r>
        <w:rPr>
          <w:rFonts w:hint="eastAsia" w:ascii="仿宋_GB2312" w:hAnsi="仿宋_GB2312" w:eastAsia="仿宋_GB2312" w:cs="仿宋_GB2312"/>
          <w:b w:val="0"/>
          <w:bCs w:val="0"/>
          <w:color w:val="auto"/>
          <w:spacing w:val="5"/>
          <w:sz w:val="32"/>
          <w:szCs w:val="32"/>
          <w:highlight w:val="none"/>
          <w:lang w:eastAsia="zh-CN"/>
        </w:rPr>
        <w:t>以及非在职全日制“少数民族高层次骨干人才研究生培养</w:t>
      </w:r>
      <w:r>
        <w:rPr>
          <w:rFonts w:hint="eastAsia" w:ascii="仿宋_GB2312" w:hAnsi="仿宋_GB2312" w:eastAsia="仿宋_GB2312" w:cs="仿宋_GB2312"/>
          <w:b w:val="0"/>
          <w:bCs w:val="0"/>
          <w:color w:val="auto"/>
          <w:spacing w:val="5"/>
          <w:sz w:val="32"/>
          <w:szCs w:val="32"/>
          <w:lang w:eastAsia="zh-CN"/>
        </w:rPr>
        <w:t>计划</w:t>
      </w:r>
      <w:r>
        <w:rPr>
          <w:rFonts w:hint="eastAsia" w:ascii="仿宋_GB2312" w:hAnsi="仿宋_GB2312" w:eastAsia="仿宋_GB2312" w:cs="仿宋_GB2312"/>
          <w:b w:val="0"/>
          <w:bCs w:val="0"/>
          <w:color w:val="auto"/>
          <w:spacing w:val="-112"/>
          <w:sz w:val="32"/>
          <w:szCs w:val="32"/>
          <w:lang w:eastAsia="zh-CN"/>
        </w:rPr>
        <w:t xml:space="preserve"> </w:t>
      </w:r>
      <w:r>
        <w:rPr>
          <w:rFonts w:hint="eastAsia" w:ascii="仿宋_GB2312" w:hAnsi="仿宋_GB2312" w:eastAsia="仿宋_GB2312" w:cs="仿宋_GB2312"/>
          <w:b w:val="0"/>
          <w:bCs w:val="0"/>
          <w:color w:val="auto"/>
          <w:spacing w:val="4"/>
          <w:sz w:val="32"/>
          <w:szCs w:val="32"/>
          <w:lang w:eastAsia="zh-CN"/>
        </w:rPr>
        <w:t>”国</w:t>
      </w:r>
      <w:r>
        <w:rPr>
          <w:rFonts w:hint="eastAsia" w:ascii="仿宋_GB2312" w:hAnsi="仿宋_GB2312" w:eastAsia="仿宋_GB2312" w:cs="仿宋_GB2312"/>
          <w:b w:val="0"/>
          <w:bCs w:val="0"/>
          <w:color w:val="auto"/>
          <w:spacing w:val="6"/>
          <w:sz w:val="32"/>
          <w:szCs w:val="32"/>
          <w:lang w:eastAsia="zh-CN"/>
        </w:rPr>
        <w:t>家专项计划的研究生。</w:t>
      </w:r>
    </w:p>
    <w:p w14:paraId="0DC54CD9">
      <w:pPr>
        <w:pStyle w:val="3"/>
        <w:keepNext w:val="0"/>
        <w:keepLines w:val="0"/>
        <w:pageBreakBefore w:val="0"/>
        <w:wordWrap/>
        <w:overflowPunct/>
        <w:topLinePunct w:val="0"/>
        <w:bidi w:val="0"/>
        <w:adjustRightInd w:val="0"/>
        <w:snapToGrid w:val="0"/>
        <w:spacing w:before="156" w:line="540" w:lineRule="exact"/>
        <w:ind w:right="132" w:firstLine="655"/>
        <w:jc w:val="both"/>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pacing w:val="7"/>
          <w:sz w:val="32"/>
          <w:szCs w:val="32"/>
          <w:lang w:eastAsia="zh-CN"/>
        </w:rPr>
        <w:t>奖助金学年动态评审对象不含科研经费博士研究生专项招生计划博士研究生。</w:t>
      </w:r>
      <w:r>
        <w:rPr>
          <w:rFonts w:hint="eastAsia" w:ascii="仿宋_GB2312" w:hAnsi="仿宋_GB2312" w:eastAsia="仿宋_GB2312" w:cs="仿宋_GB2312"/>
          <w:b w:val="0"/>
          <w:bCs w:val="0"/>
          <w:color w:val="auto"/>
          <w:spacing w:val="4"/>
          <w:sz w:val="32"/>
          <w:szCs w:val="32"/>
          <w:lang w:eastAsia="zh-CN"/>
        </w:rPr>
        <w:t>国际学生、港澳台学生、在</w:t>
      </w:r>
      <w:r>
        <w:rPr>
          <w:rFonts w:hint="eastAsia" w:ascii="仿宋_GB2312" w:hAnsi="仿宋_GB2312" w:eastAsia="仿宋_GB2312" w:cs="仿宋_GB2312"/>
          <w:b w:val="0"/>
          <w:bCs w:val="0"/>
          <w:color w:val="auto"/>
          <w:spacing w:val="3"/>
          <w:sz w:val="32"/>
          <w:szCs w:val="32"/>
          <w:lang w:eastAsia="zh-CN"/>
        </w:rPr>
        <w:t>职定向就业（委托培养）学生</w:t>
      </w:r>
      <w:r>
        <w:rPr>
          <w:rFonts w:hint="eastAsia" w:ascii="仿宋_GB2312" w:hAnsi="仿宋_GB2312" w:eastAsia="仿宋_GB2312" w:cs="仿宋_GB2312"/>
          <w:b w:val="0"/>
          <w:bCs w:val="0"/>
          <w:color w:val="auto"/>
          <w:spacing w:val="3"/>
          <w:sz w:val="32"/>
          <w:szCs w:val="32"/>
          <w:lang w:val="en-US" w:eastAsia="zh-CN"/>
        </w:rPr>
        <w:t>不适用本细则</w:t>
      </w:r>
      <w:r>
        <w:rPr>
          <w:rFonts w:hint="eastAsia" w:ascii="仿宋_GB2312" w:hAnsi="仿宋_GB2312" w:eastAsia="仿宋_GB2312" w:cs="仿宋_GB2312"/>
          <w:b w:val="0"/>
          <w:bCs w:val="0"/>
          <w:color w:val="auto"/>
          <w:spacing w:val="3"/>
          <w:sz w:val="32"/>
          <w:szCs w:val="32"/>
          <w:lang w:eastAsia="zh-CN"/>
        </w:rPr>
        <w:t>。“优生优培</w:t>
      </w:r>
      <w:r>
        <w:rPr>
          <w:rFonts w:hint="eastAsia" w:ascii="仿宋_GB2312" w:hAnsi="仿宋_GB2312" w:eastAsia="仿宋_GB2312" w:cs="仿宋_GB2312"/>
          <w:b w:val="0"/>
          <w:bCs w:val="0"/>
          <w:color w:val="auto"/>
          <w:spacing w:val="-112"/>
          <w:sz w:val="32"/>
          <w:szCs w:val="32"/>
          <w:lang w:eastAsia="zh-CN"/>
        </w:rPr>
        <w:t xml:space="preserve"> </w:t>
      </w:r>
      <w:r>
        <w:rPr>
          <w:rFonts w:hint="eastAsia" w:ascii="仿宋_GB2312" w:hAnsi="仿宋_GB2312" w:eastAsia="仿宋_GB2312" w:cs="仿宋_GB2312"/>
          <w:b w:val="0"/>
          <w:bCs w:val="0"/>
          <w:color w:val="auto"/>
          <w:spacing w:val="3"/>
          <w:sz w:val="32"/>
          <w:szCs w:val="32"/>
          <w:lang w:eastAsia="zh-CN"/>
        </w:rPr>
        <w:t>”资助计划博士研究生</w:t>
      </w:r>
      <w:r>
        <w:rPr>
          <w:rFonts w:hint="eastAsia" w:ascii="仿宋_GB2312" w:hAnsi="仿宋_GB2312" w:eastAsia="仿宋_GB2312" w:cs="仿宋_GB2312"/>
          <w:b w:val="0"/>
          <w:bCs w:val="0"/>
          <w:color w:val="auto"/>
          <w:spacing w:val="5"/>
          <w:sz w:val="32"/>
          <w:szCs w:val="32"/>
          <w:lang w:eastAsia="zh-CN"/>
        </w:rPr>
        <w:t>奖助金需单独评审。</w:t>
      </w:r>
    </w:p>
    <w:p w14:paraId="5F619AC8">
      <w:pPr>
        <w:pStyle w:val="3"/>
        <w:keepNext w:val="0"/>
        <w:keepLines w:val="0"/>
        <w:pageBreakBefore w:val="0"/>
        <w:wordWrap/>
        <w:overflowPunct/>
        <w:topLinePunct w:val="0"/>
        <w:bidi w:val="0"/>
        <w:adjustRightInd w:val="0"/>
        <w:snapToGrid w:val="0"/>
        <w:spacing w:before="1" w:line="540" w:lineRule="exact"/>
        <w:ind w:left="17" w:firstLine="643" w:firstLineChars="200"/>
        <w:jc w:val="both"/>
        <w:rPr>
          <w:rFonts w:hint="eastAsia" w:ascii="仿宋_GB2312" w:hAnsi="仿宋_GB2312" w:eastAsia="仿宋_GB2312" w:cs="仿宋_GB2312"/>
          <w:b w:val="0"/>
          <w:bCs w:val="0"/>
          <w:color w:val="auto"/>
          <w:spacing w:val="5"/>
          <w:sz w:val="32"/>
          <w:szCs w:val="32"/>
          <w:lang w:eastAsia="zh-CN"/>
        </w:rPr>
      </w:pPr>
      <w:r>
        <w:rPr>
          <w:rFonts w:hint="eastAsia" w:ascii="仿宋_GB2312" w:hAnsi="仿宋_GB2312" w:eastAsia="仿宋_GB2312" w:cs="仿宋_GB2312"/>
          <w:b/>
          <w:bCs/>
          <w:snapToGrid/>
          <w:color w:val="auto"/>
          <w:sz w:val="32"/>
          <w:szCs w:val="32"/>
          <w:lang w:val="en-US" w:eastAsia="zh-CN" w:bidi="ar-SA"/>
        </w:rPr>
        <w:t xml:space="preserve">第三条 </w:t>
      </w:r>
      <w:r>
        <w:rPr>
          <w:rFonts w:hint="eastAsia" w:ascii="仿宋_GB2312" w:hAnsi="仿宋_GB2312" w:eastAsia="仿宋_GB2312" w:cs="仿宋_GB2312"/>
          <w:b w:val="0"/>
          <w:bCs w:val="0"/>
          <w:color w:val="auto"/>
          <w:spacing w:val="7"/>
          <w:sz w:val="32"/>
          <w:szCs w:val="32"/>
          <w:lang w:eastAsia="zh-CN"/>
        </w:rPr>
        <w:t xml:space="preserve"> 学院</w:t>
      </w:r>
      <w:r>
        <w:rPr>
          <w:rFonts w:hint="eastAsia" w:ascii="仿宋_GB2312" w:hAnsi="仿宋_GB2312" w:eastAsia="仿宋_GB2312" w:cs="仿宋_GB2312"/>
          <w:b w:val="0"/>
          <w:bCs w:val="0"/>
          <w:color w:val="auto"/>
          <w:spacing w:val="7"/>
          <w:sz w:val="32"/>
          <w:szCs w:val="32"/>
          <w:lang w:val="en-US" w:eastAsia="zh-CN"/>
        </w:rPr>
        <w:t>研究生奖助金的评审</w:t>
      </w:r>
      <w:r>
        <w:rPr>
          <w:rFonts w:hint="eastAsia" w:ascii="仿宋_GB2312" w:hAnsi="仿宋_GB2312" w:eastAsia="仿宋_GB2312" w:cs="仿宋_GB2312"/>
          <w:b w:val="0"/>
          <w:bCs w:val="0"/>
          <w:color w:val="auto"/>
          <w:spacing w:val="7"/>
          <w:sz w:val="32"/>
          <w:szCs w:val="32"/>
          <w:lang w:eastAsia="zh-CN"/>
        </w:rPr>
        <w:t>坚持公开、公平、公正和实事求是的原则。</w:t>
      </w:r>
    </w:p>
    <w:p w14:paraId="3E7BD308">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outlineLvl w:val="0"/>
        <w:rPr>
          <w:rFonts w:hint="eastAsia" w:ascii="Times New Roman" w:hAnsi="Times New Roman" w:eastAsia="黑体" w:cs="Times New Roman"/>
          <w:bCs/>
          <w:snapToGrid w:val="0"/>
          <w:kern w:val="2"/>
          <w:sz w:val="32"/>
          <w:szCs w:val="44"/>
          <w:lang w:eastAsia="zh-CN"/>
        </w:rPr>
      </w:pPr>
      <w:r>
        <w:rPr>
          <w:rFonts w:hint="eastAsia" w:ascii="Times New Roman" w:hAnsi="Times New Roman" w:eastAsia="黑体" w:cs="Times New Roman"/>
          <w:bCs/>
          <w:snapToGrid w:val="0"/>
          <w:kern w:val="2"/>
          <w:sz w:val="32"/>
          <w:szCs w:val="44"/>
          <w:lang w:eastAsia="zh-CN"/>
        </w:rPr>
        <w:t>第二章  评审机构及评审原则</w:t>
      </w:r>
    </w:p>
    <w:p w14:paraId="2F5BB4B8">
      <w:pPr>
        <w:pStyle w:val="3"/>
        <w:keepNext w:val="0"/>
        <w:keepLines w:val="0"/>
        <w:pageBreakBefore w:val="0"/>
        <w:wordWrap/>
        <w:overflowPunct/>
        <w:topLinePunct w:val="0"/>
        <w:bidi w:val="0"/>
        <w:adjustRightInd w:val="0"/>
        <w:snapToGrid w:val="0"/>
        <w:spacing w:before="157" w:line="540" w:lineRule="exact"/>
        <w:ind w:left="26" w:right="40" w:firstLine="629"/>
        <w:jc w:val="both"/>
        <w:rPr>
          <w:rFonts w:hint="eastAsia" w:ascii="仿宋_GB2312" w:hAnsi="仿宋_GB2312" w:eastAsia="仿宋_GB2312" w:cs="仿宋_GB2312"/>
          <w:b w:val="0"/>
          <w:bCs w:val="0"/>
          <w:color w:val="auto"/>
          <w:spacing w:val="4"/>
          <w:sz w:val="32"/>
          <w:szCs w:val="32"/>
          <w:lang w:eastAsia="zh-CN"/>
        </w:rPr>
      </w:pPr>
      <w:r>
        <w:rPr>
          <w:rFonts w:hint="eastAsia" w:ascii="仿宋_GB2312" w:hAnsi="仿宋_GB2312" w:eastAsia="仿宋_GB2312" w:cs="仿宋_GB2312"/>
          <w:b/>
          <w:bCs/>
          <w:snapToGrid/>
          <w:color w:val="auto"/>
          <w:sz w:val="32"/>
          <w:szCs w:val="32"/>
          <w:lang w:val="en-US" w:eastAsia="zh-CN" w:bidi="ar-SA"/>
        </w:rPr>
        <w:t xml:space="preserve">第四条 </w:t>
      </w:r>
      <w:r>
        <w:rPr>
          <w:rFonts w:hint="eastAsia" w:ascii="仿宋_GB2312" w:hAnsi="仿宋_GB2312" w:eastAsia="仿宋_GB2312" w:cs="仿宋_GB2312"/>
          <w:b w:val="0"/>
          <w:bCs w:val="0"/>
          <w:color w:val="auto"/>
          <w:spacing w:val="52"/>
          <w:sz w:val="32"/>
          <w:szCs w:val="32"/>
          <w:lang w:eastAsia="zh-CN"/>
        </w:rPr>
        <w:t xml:space="preserve"> </w:t>
      </w:r>
      <w:r>
        <w:rPr>
          <w:rFonts w:hint="eastAsia" w:ascii="仿宋_GB2312" w:hAnsi="仿宋_GB2312" w:eastAsia="仿宋_GB2312" w:cs="仿宋_GB2312"/>
          <w:b w:val="0"/>
          <w:bCs w:val="0"/>
          <w:color w:val="auto"/>
          <w:spacing w:val="12"/>
          <w:sz w:val="32"/>
          <w:szCs w:val="32"/>
          <w:lang w:eastAsia="zh-CN"/>
        </w:rPr>
        <w:t>学院</w:t>
      </w:r>
      <w:r>
        <w:rPr>
          <w:rFonts w:hint="eastAsia" w:ascii="仿宋_GB2312" w:hAnsi="仿宋_GB2312" w:eastAsia="仿宋_GB2312" w:cs="仿宋_GB2312"/>
          <w:b w:val="0"/>
          <w:bCs w:val="0"/>
          <w:color w:val="auto"/>
          <w:spacing w:val="12"/>
          <w:sz w:val="32"/>
          <w:szCs w:val="32"/>
          <w:lang w:val="en-US" w:eastAsia="zh-CN"/>
        </w:rPr>
        <w:t>成立</w:t>
      </w:r>
      <w:r>
        <w:rPr>
          <w:rFonts w:hint="eastAsia" w:ascii="仿宋_GB2312" w:hAnsi="仿宋_GB2312" w:eastAsia="仿宋_GB2312" w:cs="仿宋_GB2312"/>
          <w:b w:val="0"/>
          <w:bCs w:val="0"/>
          <w:color w:val="auto"/>
          <w:spacing w:val="12"/>
          <w:sz w:val="32"/>
          <w:szCs w:val="32"/>
          <w:lang w:eastAsia="zh-CN"/>
        </w:rPr>
        <w:t>研究生奖助学金评审委</w:t>
      </w:r>
      <w:r>
        <w:rPr>
          <w:rFonts w:hint="eastAsia" w:ascii="仿宋_GB2312" w:hAnsi="仿宋_GB2312" w:eastAsia="仿宋_GB2312" w:cs="仿宋_GB2312"/>
          <w:b w:val="0"/>
          <w:bCs w:val="0"/>
          <w:color w:val="auto"/>
          <w:spacing w:val="7"/>
          <w:sz w:val="32"/>
          <w:szCs w:val="32"/>
          <w:lang w:eastAsia="zh-CN"/>
        </w:rPr>
        <w:t>员会，主要负责评审和</w:t>
      </w:r>
      <w:r>
        <w:rPr>
          <w:rFonts w:hint="eastAsia" w:ascii="仿宋_GB2312" w:hAnsi="仿宋_GB2312" w:eastAsia="仿宋_GB2312" w:cs="仿宋_GB2312"/>
          <w:b w:val="0"/>
          <w:bCs w:val="0"/>
          <w:color w:val="auto"/>
          <w:spacing w:val="7"/>
          <w:sz w:val="32"/>
          <w:szCs w:val="32"/>
          <w:lang w:val="en-US" w:eastAsia="zh-CN"/>
        </w:rPr>
        <w:t>决定</w:t>
      </w:r>
      <w:r>
        <w:rPr>
          <w:rFonts w:hint="eastAsia" w:ascii="仿宋_GB2312" w:hAnsi="仿宋_GB2312" w:eastAsia="仿宋_GB2312" w:cs="仿宋_GB2312"/>
          <w:b w:val="0"/>
          <w:bCs w:val="0"/>
          <w:color w:val="auto"/>
          <w:spacing w:val="7"/>
          <w:sz w:val="32"/>
          <w:szCs w:val="32"/>
          <w:lang w:eastAsia="zh-CN"/>
        </w:rPr>
        <w:t>学院研究生奖助金的</w:t>
      </w:r>
      <w:r>
        <w:rPr>
          <w:rFonts w:hint="eastAsia" w:ascii="仿宋_GB2312" w:hAnsi="仿宋_GB2312" w:eastAsia="仿宋_GB2312" w:cs="仿宋_GB2312"/>
          <w:b w:val="0"/>
          <w:bCs w:val="0"/>
          <w:color w:val="auto"/>
          <w:spacing w:val="7"/>
          <w:sz w:val="32"/>
          <w:szCs w:val="32"/>
          <w:lang w:val="en-US" w:eastAsia="zh-CN"/>
        </w:rPr>
        <w:t>推荐名单</w:t>
      </w:r>
      <w:r>
        <w:rPr>
          <w:rFonts w:hint="eastAsia" w:ascii="仿宋_GB2312" w:hAnsi="仿宋_GB2312" w:eastAsia="仿宋_GB2312" w:cs="仿宋_GB2312"/>
          <w:b w:val="0"/>
          <w:bCs w:val="0"/>
          <w:color w:val="auto"/>
          <w:spacing w:val="7"/>
          <w:sz w:val="32"/>
          <w:szCs w:val="32"/>
          <w:lang w:eastAsia="zh-CN"/>
        </w:rPr>
        <w:t>，组织</w:t>
      </w:r>
      <w:r>
        <w:rPr>
          <w:rFonts w:hint="eastAsia" w:ascii="仿宋_GB2312" w:hAnsi="仿宋_GB2312" w:eastAsia="仿宋_GB2312" w:cs="仿宋_GB2312"/>
          <w:b w:val="0"/>
          <w:bCs w:val="0"/>
          <w:color w:val="auto"/>
          <w:spacing w:val="7"/>
          <w:sz w:val="32"/>
          <w:szCs w:val="32"/>
          <w:lang w:val="en-US" w:eastAsia="zh-CN"/>
        </w:rPr>
        <w:t>和指导</w:t>
      </w:r>
      <w:r>
        <w:rPr>
          <w:rFonts w:hint="eastAsia" w:ascii="仿宋_GB2312" w:hAnsi="仿宋_GB2312" w:eastAsia="仿宋_GB2312" w:cs="仿宋_GB2312"/>
          <w:b w:val="0"/>
          <w:bCs w:val="0"/>
          <w:color w:val="auto"/>
          <w:spacing w:val="7"/>
          <w:sz w:val="32"/>
          <w:szCs w:val="32"/>
          <w:lang w:eastAsia="zh-CN"/>
        </w:rPr>
        <w:t>评审办法修订</w:t>
      </w:r>
      <w:r>
        <w:rPr>
          <w:rFonts w:hint="eastAsia" w:ascii="仿宋_GB2312" w:hAnsi="仿宋_GB2312" w:eastAsia="仿宋_GB2312" w:cs="仿宋_GB2312"/>
          <w:b w:val="0"/>
          <w:bCs w:val="0"/>
          <w:color w:val="auto"/>
          <w:spacing w:val="6"/>
          <w:sz w:val="32"/>
          <w:szCs w:val="32"/>
          <w:lang w:eastAsia="zh-CN"/>
        </w:rPr>
        <w:t>。</w:t>
      </w:r>
      <w:r>
        <w:rPr>
          <w:rFonts w:hint="eastAsia" w:ascii="仿宋_GB2312" w:hAnsi="仿宋_GB2312" w:eastAsia="仿宋_GB2312" w:cs="仿宋_GB2312"/>
          <w:b w:val="0"/>
          <w:bCs w:val="0"/>
          <w:color w:val="auto"/>
          <w:spacing w:val="12"/>
          <w:sz w:val="32"/>
          <w:szCs w:val="32"/>
          <w:lang w:eastAsia="zh-CN"/>
        </w:rPr>
        <w:t>评审委</w:t>
      </w:r>
      <w:r>
        <w:rPr>
          <w:rFonts w:hint="eastAsia" w:ascii="仿宋_GB2312" w:hAnsi="仿宋_GB2312" w:eastAsia="仿宋_GB2312" w:cs="仿宋_GB2312"/>
          <w:b w:val="0"/>
          <w:bCs w:val="0"/>
          <w:color w:val="auto"/>
          <w:spacing w:val="7"/>
          <w:sz w:val="32"/>
          <w:szCs w:val="32"/>
          <w:lang w:eastAsia="zh-CN"/>
        </w:rPr>
        <w:t>员会</w:t>
      </w:r>
      <w:r>
        <w:rPr>
          <w:rFonts w:hint="eastAsia" w:ascii="仿宋_GB2312" w:hAnsi="仿宋_GB2312" w:eastAsia="仿宋_GB2312" w:cs="仿宋_GB2312"/>
          <w:b w:val="0"/>
          <w:bCs w:val="0"/>
          <w:color w:val="auto"/>
          <w:spacing w:val="3"/>
          <w:sz w:val="32"/>
          <w:szCs w:val="32"/>
          <w:lang w:eastAsia="zh-CN"/>
        </w:rPr>
        <w:t>成员</w:t>
      </w:r>
      <w:r>
        <w:rPr>
          <w:rFonts w:hint="eastAsia" w:ascii="仿宋_GB2312" w:hAnsi="仿宋_GB2312" w:eastAsia="仿宋_GB2312" w:cs="仿宋_GB2312"/>
          <w:b w:val="0"/>
          <w:bCs w:val="0"/>
          <w:color w:val="auto"/>
          <w:spacing w:val="3"/>
          <w:sz w:val="32"/>
          <w:szCs w:val="32"/>
          <w:lang w:val="en-US" w:eastAsia="zh-CN"/>
        </w:rPr>
        <w:t>由</w:t>
      </w:r>
      <w:r>
        <w:rPr>
          <w:rFonts w:hint="eastAsia" w:ascii="仿宋_GB2312" w:hAnsi="仿宋_GB2312" w:eastAsia="仿宋_GB2312" w:cs="仿宋_GB2312"/>
          <w:b w:val="0"/>
          <w:bCs w:val="0"/>
          <w:color w:val="auto"/>
          <w:spacing w:val="3"/>
          <w:sz w:val="32"/>
          <w:szCs w:val="32"/>
          <w:lang w:eastAsia="zh-CN"/>
        </w:rPr>
        <w:t>分管研究生培养的副院长、分管学生工作</w:t>
      </w:r>
      <w:r>
        <w:rPr>
          <w:rFonts w:hint="eastAsia" w:ascii="仿宋_GB2312" w:hAnsi="仿宋_GB2312" w:eastAsia="仿宋_GB2312" w:cs="仿宋_GB2312"/>
          <w:b w:val="0"/>
          <w:bCs w:val="0"/>
          <w:color w:val="auto"/>
          <w:spacing w:val="4"/>
          <w:sz w:val="32"/>
          <w:szCs w:val="32"/>
          <w:lang w:eastAsia="zh-CN"/>
        </w:rPr>
        <w:t>的学院党委副书记、</w:t>
      </w:r>
      <w:r>
        <w:rPr>
          <w:rFonts w:hint="eastAsia" w:ascii="仿宋_GB2312" w:hAnsi="仿宋_GB2312" w:eastAsia="仿宋_GB2312" w:cs="仿宋_GB2312"/>
          <w:b w:val="0"/>
          <w:bCs w:val="0"/>
          <w:color w:val="auto"/>
          <w:spacing w:val="3"/>
          <w:sz w:val="32"/>
          <w:szCs w:val="32"/>
          <w:lang w:eastAsia="zh-CN"/>
        </w:rPr>
        <w:t>学院研究生教育与学位委员会成员和相关老师代表、</w:t>
      </w:r>
      <w:r>
        <w:rPr>
          <w:rFonts w:hint="eastAsia" w:ascii="仿宋_GB2312" w:hAnsi="仿宋_GB2312" w:eastAsia="仿宋_GB2312" w:cs="仿宋_GB2312"/>
          <w:b w:val="0"/>
          <w:bCs w:val="0"/>
          <w:color w:val="auto"/>
          <w:spacing w:val="4"/>
          <w:sz w:val="32"/>
          <w:szCs w:val="32"/>
          <w:lang w:eastAsia="zh-CN"/>
        </w:rPr>
        <w:t>在读研究生代表组成。</w:t>
      </w:r>
    </w:p>
    <w:p w14:paraId="4471B87D">
      <w:pPr>
        <w:pStyle w:val="3"/>
        <w:keepNext w:val="0"/>
        <w:keepLines w:val="0"/>
        <w:pageBreakBefore w:val="0"/>
        <w:wordWrap/>
        <w:overflowPunct/>
        <w:topLinePunct w:val="0"/>
        <w:bidi w:val="0"/>
        <w:adjustRightInd w:val="0"/>
        <w:snapToGrid w:val="0"/>
        <w:spacing w:before="157" w:line="540" w:lineRule="exact"/>
        <w:ind w:right="40" w:firstLine="664" w:firstLineChars="200"/>
        <w:jc w:val="both"/>
        <w:rPr>
          <w:rFonts w:hint="eastAsia" w:ascii="仿宋_GB2312" w:hAnsi="仿宋_GB2312" w:eastAsia="仿宋_GB2312" w:cs="仿宋_GB2312"/>
          <w:b w:val="0"/>
          <w:bCs w:val="0"/>
          <w:color w:val="auto"/>
          <w:spacing w:val="4"/>
          <w:sz w:val="32"/>
          <w:szCs w:val="32"/>
          <w:lang w:eastAsia="zh-CN"/>
        </w:rPr>
      </w:pPr>
      <w:r>
        <w:rPr>
          <w:rFonts w:hint="eastAsia" w:ascii="仿宋_GB2312" w:hAnsi="仿宋_GB2312" w:eastAsia="仿宋_GB2312" w:cs="仿宋_GB2312"/>
          <w:b w:val="0"/>
          <w:bCs w:val="0"/>
          <w:color w:val="auto"/>
          <w:spacing w:val="6"/>
          <w:sz w:val="32"/>
          <w:szCs w:val="32"/>
          <w:lang w:eastAsia="zh-CN"/>
        </w:rPr>
        <w:t>学院成立研究生奖助金评审工作小组，负责研究生奖助金评审办法的</w:t>
      </w:r>
      <w:r>
        <w:rPr>
          <w:rFonts w:hint="eastAsia" w:ascii="仿宋_GB2312" w:hAnsi="仿宋_GB2312" w:eastAsia="仿宋_GB2312" w:cs="仿宋_GB2312"/>
          <w:b w:val="0"/>
          <w:bCs w:val="0"/>
          <w:color w:val="auto"/>
          <w:spacing w:val="6"/>
          <w:sz w:val="32"/>
          <w:szCs w:val="32"/>
          <w:lang w:val="en-US" w:eastAsia="zh-CN"/>
        </w:rPr>
        <w:t>具体</w:t>
      </w:r>
      <w:r>
        <w:rPr>
          <w:rFonts w:hint="eastAsia" w:ascii="仿宋_GB2312" w:hAnsi="仿宋_GB2312" w:eastAsia="仿宋_GB2312" w:cs="仿宋_GB2312"/>
          <w:b w:val="0"/>
          <w:bCs w:val="0"/>
          <w:color w:val="auto"/>
          <w:spacing w:val="6"/>
          <w:sz w:val="32"/>
          <w:szCs w:val="32"/>
          <w:lang w:eastAsia="zh-CN"/>
        </w:rPr>
        <w:t>修订，研究生奖助金申请材料的</w:t>
      </w:r>
      <w:r>
        <w:rPr>
          <w:rFonts w:hint="eastAsia" w:ascii="仿宋_GB2312" w:hAnsi="仿宋_GB2312" w:eastAsia="仿宋_GB2312" w:cs="仿宋_GB2312"/>
          <w:b w:val="0"/>
          <w:bCs w:val="0"/>
          <w:color w:val="auto"/>
          <w:spacing w:val="6"/>
          <w:sz w:val="32"/>
          <w:szCs w:val="32"/>
          <w:lang w:val="en-US" w:eastAsia="zh-CN"/>
        </w:rPr>
        <w:t>审核</w:t>
      </w:r>
      <w:r>
        <w:rPr>
          <w:rFonts w:hint="eastAsia" w:ascii="仿宋_GB2312" w:hAnsi="仿宋_GB2312" w:eastAsia="仿宋_GB2312" w:cs="仿宋_GB2312"/>
          <w:b w:val="0"/>
          <w:bCs w:val="0"/>
          <w:color w:val="auto"/>
          <w:spacing w:val="6"/>
          <w:sz w:val="32"/>
          <w:szCs w:val="32"/>
          <w:lang w:eastAsia="zh-CN"/>
        </w:rPr>
        <w:t>工作。工作小组成员</w:t>
      </w:r>
      <w:r>
        <w:rPr>
          <w:rFonts w:hint="eastAsia" w:ascii="仿宋_GB2312" w:hAnsi="仿宋_GB2312" w:eastAsia="仿宋_GB2312" w:cs="仿宋_GB2312"/>
          <w:b w:val="0"/>
          <w:bCs w:val="0"/>
          <w:color w:val="auto"/>
          <w:spacing w:val="6"/>
          <w:sz w:val="32"/>
          <w:szCs w:val="32"/>
          <w:lang w:val="en-US" w:eastAsia="zh-CN"/>
        </w:rPr>
        <w:t>由</w:t>
      </w:r>
      <w:r>
        <w:rPr>
          <w:rFonts w:hint="eastAsia" w:ascii="仿宋_GB2312" w:hAnsi="仿宋_GB2312" w:eastAsia="仿宋_GB2312" w:cs="仿宋_GB2312"/>
          <w:b w:val="0"/>
          <w:bCs w:val="0"/>
          <w:color w:val="auto"/>
          <w:spacing w:val="3"/>
          <w:sz w:val="32"/>
          <w:szCs w:val="32"/>
          <w:lang w:eastAsia="zh-CN"/>
        </w:rPr>
        <w:t>分管研究生培养的副院长、分管学生工作</w:t>
      </w:r>
      <w:r>
        <w:rPr>
          <w:rFonts w:hint="eastAsia" w:ascii="仿宋_GB2312" w:hAnsi="仿宋_GB2312" w:eastAsia="仿宋_GB2312" w:cs="仿宋_GB2312"/>
          <w:b w:val="0"/>
          <w:bCs w:val="0"/>
          <w:color w:val="auto"/>
          <w:spacing w:val="4"/>
          <w:sz w:val="32"/>
          <w:szCs w:val="32"/>
          <w:lang w:eastAsia="zh-CN"/>
        </w:rPr>
        <w:t>的学院党委副书记、研究生班主任和相关老师代表、在读研究生代表等</w:t>
      </w:r>
      <w:r>
        <w:rPr>
          <w:rFonts w:hint="eastAsia" w:ascii="仿宋_GB2312" w:hAnsi="仿宋_GB2312" w:eastAsia="仿宋_GB2312" w:cs="仿宋_GB2312"/>
          <w:b w:val="0"/>
          <w:bCs w:val="0"/>
          <w:color w:val="auto"/>
          <w:spacing w:val="4"/>
          <w:sz w:val="32"/>
          <w:szCs w:val="32"/>
          <w:lang w:val="en-US" w:eastAsia="zh-CN"/>
        </w:rPr>
        <w:t>组成</w:t>
      </w:r>
      <w:r>
        <w:rPr>
          <w:rFonts w:hint="eastAsia" w:ascii="仿宋_GB2312" w:hAnsi="仿宋_GB2312" w:eastAsia="仿宋_GB2312" w:cs="仿宋_GB2312"/>
          <w:b w:val="0"/>
          <w:bCs w:val="0"/>
          <w:color w:val="auto"/>
          <w:spacing w:val="4"/>
          <w:sz w:val="32"/>
          <w:szCs w:val="32"/>
          <w:lang w:eastAsia="zh-CN"/>
        </w:rPr>
        <w:t>。</w:t>
      </w:r>
    </w:p>
    <w:p w14:paraId="6C30D660">
      <w:pPr>
        <w:pStyle w:val="3"/>
        <w:keepNext w:val="0"/>
        <w:keepLines w:val="0"/>
        <w:pageBreakBefore w:val="0"/>
        <w:wordWrap/>
        <w:overflowPunct/>
        <w:topLinePunct w:val="0"/>
        <w:bidi w:val="0"/>
        <w:adjustRightInd w:val="0"/>
        <w:snapToGrid w:val="0"/>
        <w:spacing w:before="157" w:line="540" w:lineRule="exact"/>
        <w:ind w:right="40" w:firstLine="656" w:firstLineChars="200"/>
        <w:jc w:val="both"/>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pacing w:val="4"/>
          <w:sz w:val="32"/>
          <w:szCs w:val="32"/>
          <w:lang w:val="en-US" w:eastAsia="zh-CN"/>
        </w:rPr>
        <w:t>学院研究生奖助金</w:t>
      </w:r>
      <w:r>
        <w:rPr>
          <w:rFonts w:hint="eastAsia" w:ascii="仿宋_GB2312" w:hAnsi="仿宋_GB2312" w:eastAsia="仿宋_GB2312" w:cs="仿宋_GB2312"/>
          <w:b w:val="0"/>
          <w:bCs w:val="0"/>
          <w:color w:val="auto"/>
          <w:spacing w:val="4"/>
          <w:sz w:val="32"/>
          <w:szCs w:val="32"/>
          <w:lang w:eastAsia="zh-CN"/>
        </w:rPr>
        <w:t>评审</w:t>
      </w:r>
      <w:r>
        <w:rPr>
          <w:rFonts w:hint="eastAsia" w:ascii="仿宋_GB2312" w:hAnsi="仿宋_GB2312" w:eastAsia="仿宋_GB2312" w:cs="仿宋_GB2312"/>
          <w:b w:val="0"/>
          <w:bCs w:val="0"/>
          <w:color w:val="auto"/>
          <w:spacing w:val="3"/>
          <w:sz w:val="32"/>
          <w:szCs w:val="32"/>
          <w:lang w:eastAsia="zh-CN"/>
        </w:rPr>
        <w:t>委员会、评审工作小组</w:t>
      </w:r>
      <w:r>
        <w:rPr>
          <w:rFonts w:hint="eastAsia" w:ascii="仿宋_GB2312" w:hAnsi="仿宋_GB2312" w:eastAsia="仿宋_GB2312" w:cs="仿宋_GB2312"/>
          <w:b w:val="0"/>
          <w:bCs w:val="0"/>
          <w:color w:val="auto"/>
          <w:spacing w:val="3"/>
          <w:sz w:val="32"/>
          <w:szCs w:val="32"/>
          <w:lang w:val="en-US" w:eastAsia="zh-CN"/>
        </w:rPr>
        <w:t>人员</w:t>
      </w:r>
      <w:r>
        <w:rPr>
          <w:rFonts w:hint="eastAsia" w:ascii="仿宋_GB2312" w:hAnsi="仿宋_GB2312" w:eastAsia="仿宋_GB2312" w:cs="仿宋_GB2312"/>
          <w:b w:val="0"/>
          <w:bCs w:val="0"/>
          <w:color w:val="auto"/>
          <w:spacing w:val="-5"/>
          <w:sz w:val="32"/>
          <w:szCs w:val="32"/>
          <w:lang w:eastAsia="zh-CN"/>
        </w:rPr>
        <w:t>组成经学院党委</w:t>
      </w:r>
      <w:r>
        <w:rPr>
          <w:rFonts w:hint="eastAsia" w:ascii="仿宋_GB2312" w:hAnsi="仿宋_GB2312" w:eastAsia="仿宋_GB2312" w:cs="仿宋_GB2312"/>
          <w:b w:val="0"/>
          <w:bCs w:val="0"/>
          <w:color w:val="auto"/>
          <w:spacing w:val="-5"/>
          <w:sz w:val="32"/>
          <w:szCs w:val="32"/>
          <w:lang w:val="en-US" w:eastAsia="zh-CN"/>
        </w:rPr>
        <w:t>会议</w:t>
      </w:r>
      <w:r>
        <w:rPr>
          <w:rFonts w:hint="eastAsia" w:ascii="仿宋_GB2312" w:hAnsi="仿宋_GB2312" w:eastAsia="仿宋_GB2312" w:cs="仿宋_GB2312"/>
          <w:b w:val="0"/>
          <w:bCs w:val="0"/>
          <w:color w:val="auto"/>
          <w:spacing w:val="-5"/>
          <w:sz w:val="32"/>
          <w:szCs w:val="32"/>
          <w:lang w:eastAsia="zh-CN"/>
        </w:rPr>
        <w:t>、党政联席会</w:t>
      </w:r>
      <w:r>
        <w:rPr>
          <w:rFonts w:hint="eastAsia" w:ascii="仿宋_GB2312" w:hAnsi="仿宋_GB2312" w:eastAsia="仿宋_GB2312" w:cs="仿宋_GB2312"/>
          <w:b w:val="0"/>
          <w:bCs w:val="0"/>
          <w:color w:val="auto"/>
          <w:spacing w:val="-5"/>
          <w:sz w:val="32"/>
          <w:szCs w:val="32"/>
          <w:lang w:val="en-US" w:eastAsia="zh-CN"/>
        </w:rPr>
        <w:t>议</w:t>
      </w:r>
      <w:r>
        <w:rPr>
          <w:rFonts w:hint="eastAsia" w:ascii="仿宋_GB2312" w:hAnsi="仿宋_GB2312" w:eastAsia="仿宋_GB2312" w:cs="仿宋_GB2312"/>
          <w:b w:val="0"/>
          <w:bCs w:val="0"/>
          <w:color w:val="auto"/>
          <w:spacing w:val="-5"/>
          <w:sz w:val="32"/>
          <w:szCs w:val="32"/>
          <w:lang w:eastAsia="zh-CN"/>
        </w:rPr>
        <w:t>审议后由学院发文</w:t>
      </w:r>
      <w:r>
        <w:rPr>
          <w:rFonts w:hint="eastAsia" w:ascii="仿宋_GB2312" w:hAnsi="仿宋_GB2312" w:eastAsia="仿宋_GB2312" w:cs="仿宋_GB2312"/>
          <w:b w:val="0"/>
          <w:bCs w:val="0"/>
          <w:color w:val="auto"/>
          <w:spacing w:val="-5"/>
          <w:sz w:val="32"/>
          <w:szCs w:val="32"/>
          <w:lang w:val="en-US" w:eastAsia="zh-CN"/>
        </w:rPr>
        <w:t>公布</w:t>
      </w:r>
      <w:r>
        <w:rPr>
          <w:rFonts w:hint="eastAsia" w:ascii="仿宋_GB2312" w:hAnsi="仿宋_GB2312" w:eastAsia="仿宋_GB2312" w:cs="仿宋_GB2312"/>
          <w:b w:val="0"/>
          <w:bCs w:val="0"/>
          <w:color w:val="auto"/>
          <w:spacing w:val="-5"/>
          <w:sz w:val="32"/>
          <w:szCs w:val="32"/>
          <w:lang w:eastAsia="zh-CN"/>
        </w:rPr>
        <w:t>。</w:t>
      </w:r>
    </w:p>
    <w:p w14:paraId="017F7B45">
      <w:pPr>
        <w:pStyle w:val="3"/>
        <w:keepNext w:val="0"/>
        <w:keepLines w:val="0"/>
        <w:pageBreakBefore w:val="0"/>
        <w:wordWrap/>
        <w:overflowPunct/>
        <w:topLinePunct w:val="0"/>
        <w:bidi w:val="0"/>
        <w:adjustRightInd w:val="0"/>
        <w:snapToGrid w:val="0"/>
        <w:spacing w:before="158" w:line="540" w:lineRule="exact"/>
        <w:ind w:firstLine="655"/>
        <w:jc w:val="both"/>
        <w:rPr>
          <w:rFonts w:hint="eastAsia" w:ascii="仿宋_GB2312" w:hAnsi="仿宋_GB2312" w:eastAsia="仿宋_GB2312" w:cs="仿宋_GB2312"/>
          <w:b w:val="0"/>
          <w:bCs w:val="0"/>
          <w:color w:val="auto"/>
          <w:spacing w:val="12"/>
          <w:sz w:val="32"/>
          <w:szCs w:val="32"/>
          <w:lang w:eastAsia="zh-CN"/>
        </w:rPr>
      </w:pPr>
      <w:r>
        <w:rPr>
          <w:rFonts w:hint="eastAsia" w:ascii="仿宋_GB2312" w:hAnsi="仿宋_GB2312" w:eastAsia="仿宋_GB2312" w:cs="仿宋_GB2312"/>
          <w:b/>
          <w:bCs/>
          <w:snapToGrid/>
          <w:color w:val="auto"/>
          <w:sz w:val="32"/>
          <w:szCs w:val="32"/>
          <w:lang w:val="en-US" w:eastAsia="zh-CN" w:bidi="ar-SA"/>
        </w:rPr>
        <w:t xml:space="preserve">第五条 </w:t>
      </w:r>
      <w:r>
        <w:rPr>
          <w:rFonts w:hint="eastAsia" w:ascii="仿宋_GB2312" w:hAnsi="仿宋_GB2312" w:eastAsia="仿宋_GB2312" w:cs="仿宋_GB2312"/>
          <w:b w:val="0"/>
          <w:bCs w:val="0"/>
          <w:color w:val="auto"/>
          <w:spacing w:val="52"/>
          <w:sz w:val="32"/>
          <w:szCs w:val="32"/>
          <w:lang w:eastAsia="zh-CN"/>
        </w:rPr>
        <w:t xml:space="preserve"> </w:t>
      </w:r>
      <w:r>
        <w:rPr>
          <w:rFonts w:hint="eastAsia" w:ascii="仿宋_GB2312" w:hAnsi="仿宋_GB2312" w:eastAsia="仿宋_GB2312" w:cs="仿宋_GB2312"/>
          <w:b w:val="0"/>
          <w:bCs w:val="0"/>
          <w:color w:val="auto"/>
          <w:spacing w:val="12"/>
          <w:sz w:val="32"/>
          <w:szCs w:val="32"/>
          <w:lang w:eastAsia="zh-CN"/>
        </w:rPr>
        <w:t>根据学校奖助规定的要求，研究生奖助金评审采取一年一评制。评审时间为每学年秋季学期开学前或开学初。</w:t>
      </w:r>
    </w:p>
    <w:p w14:paraId="2CB2091E">
      <w:pPr>
        <w:pStyle w:val="3"/>
        <w:keepNext w:val="0"/>
        <w:keepLines w:val="0"/>
        <w:pageBreakBefore w:val="0"/>
        <w:wordWrap/>
        <w:overflowPunct/>
        <w:topLinePunct w:val="0"/>
        <w:bidi w:val="0"/>
        <w:adjustRightInd w:val="0"/>
        <w:snapToGrid w:val="0"/>
        <w:spacing w:before="158" w:line="540" w:lineRule="exact"/>
        <w:ind w:firstLine="655"/>
        <w:jc w:val="both"/>
        <w:rPr>
          <w:rFonts w:hint="eastAsia" w:ascii="仿宋_GB2312" w:hAnsi="仿宋_GB2312" w:eastAsia="仿宋_GB2312" w:cs="仿宋_GB2312"/>
          <w:b w:val="0"/>
          <w:bCs w:val="0"/>
          <w:color w:val="auto"/>
          <w:spacing w:val="12"/>
          <w:sz w:val="32"/>
          <w:szCs w:val="32"/>
          <w:lang w:eastAsia="zh-CN"/>
        </w:rPr>
      </w:pPr>
      <w:r>
        <w:rPr>
          <w:rFonts w:hint="eastAsia" w:ascii="仿宋_GB2312" w:hAnsi="仿宋_GB2312" w:eastAsia="仿宋_GB2312" w:cs="仿宋_GB2312"/>
          <w:b/>
          <w:bCs/>
          <w:snapToGrid/>
          <w:color w:val="auto"/>
          <w:sz w:val="32"/>
          <w:szCs w:val="32"/>
          <w:lang w:val="en-US" w:eastAsia="zh-CN" w:bidi="ar-SA"/>
        </w:rPr>
        <w:t xml:space="preserve">第六条 </w:t>
      </w:r>
      <w:r>
        <w:rPr>
          <w:rFonts w:hint="eastAsia" w:ascii="仿宋_GB2312" w:hAnsi="仿宋_GB2312" w:eastAsia="仿宋_GB2312" w:cs="仿宋_GB2312"/>
          <w:b w:val="0"/>
          <w:bCs w:val="0"/>
          <w:color w:val="auto"/>
          <w:spacing w:val="52"/>
          <w:sz w:val="32"/>
          <w:szCs w:val="32"/>
          <w:lang w:eastAsia="zh-CN"/>
        </w:rPr>
        <w:t xml:space="preserve"> </w:t>
      </w:r>
      <w:r>
        <w:rPr>
          <w:rFonts w:hint="eastAsia" w:ascii="仿宋_GB2312" w:hAnsi="仿宋_GB2312" w:eastAsia="仿宋_GB2312" w:cs="仿宋_GB2312"/>
          <w:b w:val="0"/>
          <w:bCs w:val="0"/>
          <w:color w:val="auto"/>
          <w:spacing w:val="12"/>
          <w:sz w:val="32"/>
          <w:szCs w:val="32"/>
          <w:lang w:eastAsia="zh-CN"/>
        </w:rPr>
        <w:t>学院研究生奖助金评审</w:t>
      </w:r>
      <w:r>
        <w:rPr>
          <w:rFonts w:hint="eastAsia" w:ascii="仿宋_GB2312" w:hAnsi="仿宋_GB2312" w:eastAsia="仿宋_GB2312" w:cs="仿宋_GB2312"/>
          <w:b w:val="0"/>
          <w:bCs w:val="0"/>
          <w:color w:val="auto"/>
          <w:spacing w:val="12"/>
          <w:sz w:val="32"/>
          <w:szCs w:val="32"/>
          <w:lang w:val="en-US" w:eastAsia="zh-CN"/>
        </w:rPr>
        <w:t>以保障和提升研究生培养质量为目标，以思想品德、课业成绩、科研业绩、实践能力和对学院、学校的贡献为核心，引导和促进学生德、智、体、美、劳全面发展</w:t>
      </w:r>
      <w:r>
        <w:rPr>
          <w:rFonts w:hint="eastAsia" w:ascii="仿宋_GB2312" w:hAnsi="仿宋_GB2312" w:eastAsia="仿宋_GB2312" w:cs="仿宋_GB2312"/>
          <w:b w:val="0"/>
          <w:bCs w:val="0"/>
          <w:color w:val="auto"/>
          <w:spacing w:val="12"/>
          <w:sz w:val="32"/>
          <w:szCs w:val="32"/>
          <w:lang w:eastAsia="zh-CN"/>
        </w:rPr>
        <w:t>。</w:t>
      </w:r>
    </w:p>
    <w:p w14:paraId="4514962B">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outlineLvl w:val="0"/>
        <w:rPr>
          <w:rFonts w:hint="eastAsia" w:ascii="Times New Roman" w:hAnsi="Times New Roman" w:eastAsia="黑体" w:cs="Times New Roman"/>
          <w:bCs/>
          <w:snapToGrid w:val="0"/>
          <w:kern w:val="2"/>
          <w:sz w:val="32"/>
          <w:szCs w:val="44"/>
          <w:lang w:eastAsia="zh-CN"/>
        </w:rPr>
      </w:pPr>
      <w:r>
        <w:rPr>
          <w:rFonts w:hint="eastAsia" w:ascii="Times New Roman" w:hAnsi="Times New Roman" w:eastAsia="黑体" w:cs="Times New Roman"/>
          <w:bCs/>
          <w:snapToGrid w:val="0"/>
          <w:kern w:val="2"/>
          <w:sz w:val="32"/>
          <w:szCs w:val="44"/>
          <w:lang w:eastAsia="zh-CN"/>
        </w:rPr>
        <w:t>第三章  名额分配</w:t>
      </w:r>
    </w:p>
    <w:p w14:paraId="41D1DA65">
      <w:pPr>
        <w:pStyle w:val="3"/>
        <w:keepNext w:val="0"/>
        <w:keepLines w:val="0"/>
        <w:pageBreakBefore w:val="0"/>
        <w:wordWrap/>
        <w:overflowPunct/>
        <w:topLinePunct w:val="0"/>
        <w:bidi w:val="0"/>
        <w:adjustRightInd w:val="0"/>
        <w:snapToGrid w:val="0"/>
        <w:spacing w:before="158" w:line="540" w:lineRule="exact"/>
        <w:ind w:firstLine="655"/>
        <w:jc w:val="both"/>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bCs/>
          <w:snapToGrid/>
          <w:color w:val="auto"/>
          <w:sz w:val="32"/>
          <w:szCs w:val="32"/>
          <w:lang w:val="en-US" w:eastAsia="zh-CN" w:bidi="ar-SA"/>
        </w:rPr>
        <w:t xml:space="preserve">第七条 </w:t>
      </w:r>
      <w:r>
        <w:rPr>
          <w:rFonts w:hint="eastAsia" w:ascii="仿宋_GB2312" w:hAnsi="仿宋_GB2312" w:eastAsia="仿宋_GB2312" w:cs="仿宋_GB2312"/>
          <w:b w:val="0"/>
          <w:bCs w:val="0"/>
          <w:color w:val="auto"/>
          <w:spacing w:val="52"/>
          <w:sz w:val="32"/>
          <w:szCs w:val="32"/>
          <w:lang w:eastAsia="zh-CN"/>
        </w:rPr>
        <w:t xml:space="preserve"> </w:t>
      </w:r>
      <w:r>
        <w:rPr>
          <w:rFonts w:hint="eastAsia" w:ascii="仿宋_GB2312" w:hAnsi="仿宋_GB2312" w:eastAsia="仿宋_GB2312" w:cs="仿宋_GB2312"/>
          <w:b w:val="0"/>
          <w:bCs w:val="0"/>
          <w:color w:val="auto"/>
          <w:spacing w:val="12"/>
          <w:sz w:val="32"/>
          <w:szCs w:val="32"/>
          <w:lang w:eastAsia="zh-CN"/>
        </w:rPr>
        <w:t>学院研究生奖助金名额由学校分类下达，各年级名</w:t>
      </w:r>
      <w:r>
        <w:rPr>
          <w:rFonts w:hint="eastAsia" w:ascii="仿宋_GB2312" w:hAnsi="仿宋_GB2312" w:eastAsia="仿宋_GB2312" w:cs="仿宋_GB2312"/>
          <w:b w:val="0"/>
          <w:bCs w:val="0"/>
          <w:color w:val="auto"/>
          <w:spacing w:val="4"/>
          <w:sz w:val="32"/>
          <w:szCs w:val="32"/>
          <w:lang w:eastAsia="zh-CN"/>
        </w:rPr>
        <w:t>额原则上根据各年级参评学生人数比例进行分配。</w:t>
      </w:r>
      <w:r>
        <w:rPr>
          <w:rFonts w:hint="eastAsia" w:ascii="仿宋_GB2312" w:hAnsi="仿宋_GB2312" w:eastAsia="仿宋_GB2312" w:cs="仿宋_GB2312"/>
          <w:b w:val="0"/>
          <w:bCs w:val="0"/>
          <w:color w:val="auto"/>
          <w:spacing w:val="4"/>
          <w:sz w:val="32"/>
          <w:szCs w:val="32"/>
          <w:highlight w:val="none"/>
          <w:lang w:eastAsia="zh-CN"/>
        </w:rPr>
        <w:t>每年奖助金最终</w:t>
      </w:r>
      <w:r>
        <w:rPr>
          <w:rFonts w:hint="eastAsia" w:ascii="仿宋_GB2312" w:hAnsi="仿宋_GB2312" w:eastAsia="仿宋_GB2312" w:cs="仿宋_GB2312"/>
          <w:b w:val="0"/>
          <w:bCs w:val="0"/>
          <w:color w:val="auto"/>
          <w:spacing w:val="7"/>
          <w:sz w:val="32"/>
          <w:szCs w:val="32"/>
          <w:highlight w:val="none"/>
          <w:lang w:eastAsia="zh-CN"/>
        </w:rPr>
        <w:t>推荐名额</w:t>
      </w:r>
      <w:r>
        <w:rPr>
          <w:rFonts w:hint="eastAsia" w:ascii="仿宋_GB2312" w:hAnsi="仿宋_GB2312" w:eastAsia="仿宋_GB2312" w:cs="仿宋_GB2312"/>
          <w:b w:val="0"/>
          <w:bCs w:val="0"/>
          <w:color w:val="auto"/>
          <w:spacing w:val="7"/>
          <w:sz w:val="32"/>
          <w:szCs w:val="32"/>
          <w:highlight w:val="none"/>
          <w:lang w:val="en-US" w:eastAsia="zh-CN"/>
        </w:rPr>
        <w:t>由评审委员会结合学校通知确定</w:t>
      </w:r>
      <w:r>
        <w:rPr>
          <w:rFonts w:hint="eastAsia" w:ascii="仿宋_GB2312" w:hAnsi="仿宋_GB2312" w:eastAsia="仿宋_GB2312" w:cs="仿宋_GB2312"/>
          <w:b w:val="0"/>
          <w:bCs w:val="0"/>
          <w:color w:val="auto"/>
          <w:spacing w:val="7"/>
          <w:sz w:val="32"/>
          <w:szCs w:val="32"/>
          <w:highlight w:val="none"/>
          <w:lang w:eastAsia="zh-CN"/>
        </w:rPr>
        <w:t>。</w:t>
      </w:r>
    </w:p>
    <w:p w14:paraId="2AB42850">
      <w:pPr>
        <w:pStyle w:val="3"/>
        <w:keepNext w:val="0"/>
        <w:keepLines w:val="0"/>
        <w:pageBreakBefore w:val="0"/>
        <w:wordWrap/>
        <w:overflowPunct/>
        <w:topLinePunct w:val="0"/>
        <w:bidi w:val="0"/>
        <w:adjustRightInd w:val="0"/>
        <w:snapToGrid w:val="0"/>
        <w:spacing w:before="1" w:line="540" w:lineRule="exact"/>
        <w:ind w:left="17" w:firstLine="643" w:firstLineChars="200"/>
        <w:jc w:val="both"/>
        <w:rPr>
          <w:rFonts w:hint="eastAsia" w:ascii="仿宋_GB2312" w:hAnsi="仿宋_GB2312" w:eastAsia="仿宋_GB2312" w:cs="仿宋_GB2312"/>
          <w:b w:val="0"/>
          <w:bCs w:val="0"/>
          <w:color w:val="auto"/>
          <w:spacing w:val="7"/>
          <w:sz w:val="32"/>
          <w:szCs w:val="32"/>
          <w:lang w:eastAsia="zh-CN"/>
        </w:rPr>
      </w:pPr>
      <w:r>
        <w:rPr>
          <w:rFonts w:hint="eastAsia" w:ascii="仿宋_GB2312" w:hAnsi="仿宋_GB2312" w:eastAsia="仿宋_GB2312" w:cs="仿宋_GB2312"/>
          <w:b/>
          <w:bCs/>
          <w:snapToGrid/>
          <w:color w:val="auto"/>
          <w:sz w:val="32"/>
          <w:szCs w:val="32"/>
          <w:lang w:val="en-US" w:eastAsia="zh-CN" w:bidi="ar-SA"/>
        </w:rPr>
        <w:t xml:space="preserve">第八条 </w:t>
      </w:r>
      <w:r>
        <w:rPr>
          <w:rFonts w:hint="eastAsia" w:ascii="仿宋_GB2312" w:hAnsi="仿宋_GB2312" w:eastAsia="仿宋_GB2312" w:cs="仿宋_GB2312"/>
          <w:b w:val="0"/>
          <w:bCs w:val="0"/>
          <w:color w:val="auto"/>
          <w:spacing w:val="7"/>
          <w:sz w:val="32"/>
          <w:szCs w:val="32"/>
          <w:lang w:eastAsia="zh-CN"/>
        </w:rPr>
        <w:t>学术学位硕士研究生和专业学位硕士研究生的奖助金名额分类下达，不打通使用。</w:t>
      </w:r>
    </w:p>
    <w:p w14:paraId="5C7B53D0">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outlineLvl w:val="0"/>
        <w:rPr>
          <w:rFonts w:hint="eastAsia" w:ascii="Times New Roman" w:hAnsi="Times New Roman" w:eastAsia="黑体" w:cs="Times New Roman"/>
          <w:bCs/>
          <w:snapToGrid w:val="0"/>
          <w:kern w:val="2"/>
          <w:sz w:val="32"/>
          <w:szCs w:val="44"/>
          <w:lang w:eastAsia="zh-CN"/>
        </w:rPr>
      </w:pPr>
      <w:r>
        <w:rPr>
          <w:rFonts w:hint="eastAsia" w:ascii="Times New Roman" w:hAnsi="Times New Roman" w:eastAsia="黑体" w:cs="Times New Roman"/>
          <w:bCs/>
          <w:snapToGrid w:val="0"/>
          <w:kern w:val="2"/>
          <w:sz w:val="32"/>
          <w:szCs w:val="44"/>
          <w:lang w:eastAsia="zh-CN"/>
        </w:rPr>
        <w:t>第四章  参评条件</w:t>
      </w:r>
    </w:p>
    <w:p w14:paraId="024B28BC">
      <w:pPr>
        <w:pStyle w:val="3"/>
        <w:keepNext w:val="0"/>
        <w:keepLines w:val="0"/>
        <w:pageBreakBefore w:val="0"/>
        <w:wordWrap/>
        <w:overflowPunct/>
        <w:topLinePunct w:val="0"/>
        <w:bidi w:val="0"/>
        <w:adjustRightInd w:val="0"/>
        <w:snapToGrid w:val="0"/>
        <w:spacing w:before="159" w:line="540" w:lineRule="exact"/>
        <w:ind w:left="655"/>
        <w:jc w:val="both"/>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bCs/>
          <w:snapToGrid/>
          <w:color w:val="auto"/>
          <w:sz w:val="32"/>
          <w:szCs w:val="32"/>
          <w:lang w:val="en-US" w:eastAsia="zh-CN" w:bidi="ar-SA"/>
        </w:rPr>
        <w:t xml:space="preserve">第九条 </w:t>
      </w:r>
      <w:r>
        <w:rPr>
          <w:rFonts w:hint="eastAsia" w:ascii="仿宋_GB2312" w:hAnsi="仿宋_GB2312" w:eastAsia="仿宋_GB2312" w:cs="仿宋_GB2312"/>
          <w:b w:val="0"/>
          <w:bCs w:val="0"/>
          <w:color w:val="auto"/>
          <w:spacing w:val="8"/>
          <w:sz w:val="32"/>
          <w:szCs w:val="32"/>
          <w:lang w:eastAsia="zh-CN"/>
        </w:rPr>
        <w:t xml:space="preserve"> 参评</w:t>
      </w:r>
      <w:r>
        <w:rPr>
          <w:rFonts w:hint="eastAsia" w:ascii="仿宋_GB2312" w:hAnsi="仿宋_GB2312" w:eastAsia="仿宋_GB2312" w:cs="仿宋_GB2312"/>
          <w:b w:val="0"/>
          <w:bCs w:val="0"/>
          <w:color w:val="auto"/>
          <w:spacing w:val="8"/>
          <w:sz w:val="32"/>
          <w:szCs w:val="32"/>
          <w:lang w:val="en-US" w:eastAsia="zh-CN"/>
        </w:rPr>
        <w:t>奖助金的</w:t>
      </w:r>
      <w:r>
        <w:rPr>
          <w:rFonts w:hint="eastAsia" w:ascii="仿宋_GB2312" w:hAnsi="仿宋_GB2312" w:eastAsia="仿宋_GB2312" w:cs="仿宋_GB2312"/>
          <w:b w:val="0"/>
          <w:bCs w:val="0"/>
          <w:color w:val="auto"/>
          <w:spacing w:val="8"/>
          <w:sz w:val="32"/>
          <w:szCs w:val="32"/>
          <w:lang w:eastAsia="zh-CN"/>
        </w:rPr>
        <w:t>学生应具备以下条件：</w:t>
      </w:r>
    </w:p>
    <w:p w14:paraId="1866636E">
      <w:pPr>
        <w:pStyle w:val="3"/>
        <w:keepNext w:val="0"/>
        <w:keepLines w:val="0"/>
        <w:pageBreakBefore w:val="0"/>
        <w:wordWrap/>
        <w:overflowPunct/>
        <w:topLinePunct w:val="0"/>
        <w:bidi w:val="0"/>
        <w:adjustRightInd w:val="0"/>
        <w:snapToGrid w:val="0"/>
        <w:spacing w:before="157" w:line="540" w:lineRule="exact"/>
        <w:ind w:left="646"/>
        <w:jc w:val="both"/>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pacing w:val="8"/>
          <w:sz w:val="32"/>
          <w:szCs w:val="32"/>
          <w:lang w:eastAsia="zh-CN"/>
        </w:rPr>
        <w:t>（一）热爱社会主义祖国，拥护中国共产党领导；</w:t>
      </w:r>
    </w:p>
    <w:p w14:paraId="2B01301B">
      <w:pPr>
        <w:pStyle w:val="3"/>
        <w:keepNext w:val="0"/>
        <w:keepLines w:val="0"/>
        <w:pageBreakBefore w:val="0"/>
        <w:wordWrap/>
        <w:overflowPunct/>
        <w:topLinePunct w:val="0"/>
        <w:bidi w:val="0"/>
        <w:adjustRightInd w:val="0"/>
        <w:snapToGrid w:val="0"/>
        <w:spacing w:before="158" w:line="540" w:lineRule="exact"/>
        <w:ind w:left="646"/>
        <w:jc w:val="both"/>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pacing w:val="8"/>
          <w:sz w:val="32"/>
          <w:szCs w:val="32"/>
          <w:lang w:eastAsia="zh-CN"/>
        </w:rPr>
        <w:t>（二）遵守宪法和法律，遵守学校规章制度；</w:t>
      </w:r>
    </w:p>
    <w:p w14:paraId="679F4EAD">
      <w:pPr>
        <w:pStyle w:val="3"/>
        <w:keepNext w:val="0"/>
        <w:keepLines w:val="0"/>
        <w:pageBreakBefore w:val="0"/>
        <w:wordWrap/>
        <w:overflowPunct/>
        <w:topLinePunct w:val="0"/>
        <w:bidi w:val="0"/>
        <w:adjustRightInd w:val="0"/>
        <w:snapToGrid w:val="0"/>
        <w:spacing w:before="158" w:line="540" w:lineRule="exact"/>
        <w:ind w:left="646"/>
        <w:jc w:val="both"/>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pacing w:val="7"/>
          <w:sz w:val="32"/>
          <w:szCs w:val="32"/>
          <w:lang w:eastAsia="zh-CN"/>
        </w:rPr>
        <w:t>（三）诚实守信，道德品质优良；</w:t>
      </w:r>
    </w:p>
    <w:p w14:paraId="659A3F00">
      <w:pPr>
        <w:pStyle w:val="3"/>
        <w:keepNext w:val="0"/>
        <w:keepLines w:val="0"/>
        <w:pageBreakBefore w:val="0"/>
        <w:wordWrap/>
        <w:overflowPunct/>
        <w:topLinePunct w:val="0"/>
        <w:bidi w:val="0"/>
        <w:adjustRightInd w:val="0"/>
        <w:snapToGrid w:val="0"/>
        <w:spacing w:before="159" w:line="540" w:lineRule="exact"/>
        <w:ind w:left="646"/>
        <w:jc w:val="both"/>
        <w:rPr>
          <w:rFonts w:hint="eastAsia" w:ascii="仿宋_GB2312" w:hAnsi="仿宋_GB2312" w:eastAsia="仿宋_GB2312" w:cs="仿宋_GB2312"/>
          <w:b w:val="0"/>
          <w:bCs w:val="0"/>
          <w:color w:val="auto"/>
          <w:spacing w:val="7"/>
          <w:sz w:val="32"/>
          <w:szCs w:val="32"/>
          <w:lang w:eastAsia="zh-CN"/>
        </w:rPr>
      </w:pPr>
      <w:r>
        <w:rPr>
          <w:rFonts w:hint="eastAsia" w:ascii="仿宋_GB2312" w:hAnsi="仿宋_GB2312" w:eastAsia="仿宋_GB2312" w:cs="仿宋_GB2312"/>
          <w:b w:val="0"/>
          <w:bCs w:val="0"/>
          <w:color w:val="auto"/>
          <w:spacing w:val="7"/>
          <w:sz w:val="32"/>
          <w:szCs w:val="32"/>
          <w:lang w:eastAsia="zh-CN"/>
        </w:rPr>
        <w:t>（四）积极参与</w:t>
      </w:r>
      <w:r>
        <w:rPr>
          <w:rFonts w:hint="eastAsia" w:ascii="仿宋_GB2312" w:hAnsi="仿宋_GB2312" w:eastAsia="仿宋_GB2312" w:cs="仿宋_GB2312"/>
          <w:b w:val="0"/>
          <w:bCs w:val="0"/>
          <w:color w:val="auto"/>
          <w:spacing w:val="7"/>
          <w:sz w:val="32"/>
          <w:szCs w:val="32"/>
          <w:lang w:val="en-US" w:eastAsia="zh-CN"/>
        </w:rPr>
        <w:t>专业课程学习、</w:t>
      </w:r>
      <w:r>
        <w:rPr>
          <w:rFonts w:hint="eastAsia" w:ascii="仿宋_GB2312" w:hAnsi="仿宋_GB2312" w:eastAsia="仿宋_GB2312" w:cs="仿宋_GB2312"/>
          <w:b w:val="0"/>
          <w:bCs w:val="0"/>
          <w:color w:val="auto"/>
          <w:spacing w:val="7"/>
          <w:sz w:val="32"/>
          <w:szCs w:val="32"/>
          <w:lang w:eastAsia="zh-CN"/>
        </w:rPr>
        <w:t>科学研究和社会实践；</w:t>
      </w:r>
    </w:p>
    <w:p w14:paraId="076CB86F">
      <w:pPr>
        <w:pStyle w:val="3"/>
        <w:keepNext w:val="0"/>
        <w:keepLines w:val="0"/>
        <w:pageBreakBefore w:val="0"/>
        <w:wordWrap/>
        <w:overflowPunct/>
        <w:topLinePunct w:val="0"/>
        <w:bidi w:val="0"/>
        <w:adjustRightInd w:val="0"/>
        <w:snapToGrid w:val="0"/>
        <w:spacing w:before="159" w:line="540" w:lineRule="exact"/>
        <w:ind w:left="0"/>
        <w:jc w:val="both"/>
        <w:rPr>
          <w:rFonts w:hint="eastAsia" w:ascii="仿宋_GB2312" w:hAnsi="仿宋_GB2312" w:eastAsia="仿宋_GB2312" w:cs="仿宋_GB2312"/>
          <w:b w:val="0"/>
          <w:bCs w:val="0"/>
          <w:color w:val="auto"/>
          <w:spacing w:val="8"/>
          <w:sz w:val="32"/>
          <w:szCs w:val="32"/>
          <w:lang w:eastAsia="zh-CN"/>
        </w:rPr>
      </w:pPr>
      <w:r>
        <w:rPr>
          <w:rFonts w:hint="eastAsia" w:ascii="仿宋_GB2312" w:hAnsi="仿宋_GB2312" w:eastAsia="仿宋_GB2312" w:cs="仿宋_GB2312"/>
          <w:b w:val="0"/>
          <w:bCs w:val="0"/>
          <w:color w:val="auto"/>
          <w:spacing w:val="8"/>
          <w:sz w:val="32"/>
          <w:szCs w:val="32"/>
          <w:lang w:val="en-US" w:eastAsia="zh-CN"/>
        </w:rPr>
        <w:t xml:space="preserve">    </w:t>
      </w:r>
      <w:r>
        <w:rPr>
          <w:rFonts w:hint="eastAsia" w:ascii="仿宋_GB2312" w:hAnsi="仿宋_GB2312" w:eastAsia="仿宋_GB2312" w:cs="仿宋_GB2312"/>
          <w:b w:val="0"/>
          <w:bCs w:val="0"/>
          <w:color w:val="auto"/>
          <w:spacing w:val="8"/>
          <w:sz w:val="32"/>
          <w:szCs w:val="32"/>
          <w:lang w:eastAsia="zh-CN"/>
        </w:rPr>
        <w:t>（五）入学一年以上的研究生参评奖助金的上一学年度已达到学校培养计划所规定的学习要求，并考核合格；</w:t>
      </w:r>
    </w:p>
    <w:p w14:paraId="044C74FD">
      <w:pPr>
        <w:pStyle w:val="3"/>
        <w:keepNext w:val="0"/>
        <w:keepLines w:val="0"/>
        <w:pageBreakBefore w:val="0"/>
        <w:wordWrap/>
        <w:overflowPunct/>
        <w:topLinePunct w:val="0"/>
        <w:bidi w:val="0"/>
        <w:adjustRightInd w:val="0"/>
        <w:snapToGrid w:val="0"/>
        <w:spacing w:before="161" w:line="540" w:lineRule="exact"/>
        <w:ind w:left="646"/>
        <w:jc w:val="both"/>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pacing w:val="8"/>
          <w:sz w:val="32"/>
          <w:szCs w:val="32"/>
          <w:lang w:eastAsia="zh-CN"/>
        </w:rPr>
        <w:t>（六）完成学校规定的科研助手等工作任务。</w:t>
      </w:r>
    </w:p>
    <w:p w14:paraId="0430C7E9">
      <w:pPr>
        <w:pStyle w:val="3"/>
        <w:keepNext w:val="0"/>
        <w:keepLines w:val="0"/>
        <w:pageBreakBefore w:val="0"/>
        <w:wordWrap/>
        <w:overflowPunct/>
        <w:topLinePunct w:val="0"/>
        <w:bidi w:val="0"/>
        <w:adjustRightInd w:val="0"/>
        <w:snapToGrid w:val="0"/>
        <w:spacing w:before="167" w:line="540" w:lineRule="exact"/>
        <w:ind w:firstLine="643" w:firstLineChars="200"/>
        <w:jc w:val="both"/>
        <w:rPr>
          <w:rFonts w:hint="eastAsia" w:ascii="仿宋_GB2312" w:hAnsi="仿宋_GB2312" w:eastAsia="仿宋_GB2312" w:cs="仿宋_GB2312"/>
          <w:b w:val="0"/>
          <w:bCs w:val="0"/>
          <w:color w:val="auto"/>
          <w:spacing w:val="8"/>
          <w:sz w:val="32"/>
          <w:szCs w:val="32"/>
          <w:lang w:eastAsia="zh-CN"/>
        </w:rPr>
      </w:pPr>
      <w:r>
        <w:rPr>
          <w:rFonts w:hint="eastAsia" w:ascii="仿宋_GB2312" w:hAnsi="仿宋_GB2312" w:eastAsia="仿宋_GB2312" w:cs="仿宋_GB2312"/>
          <w:b/>
          <w:bCs/>
          <w:snapToGrid/>
          <w:color w:val="auto"/>
          <w:sz w:val="32"/>
          <w:szCs w:val="32"/>
          <w:lang w:val="en-US" w:eastAsia="zh-CN" w:bidi="ar-SA"/>
        </w:rPr>
        <w:t xml:space="preserve">第十条 </w:t>
      </w:r>
      <w:r>
        <w:rPr>
          <w:rFonts w:hint="eastAsia" w:ascii="仿宋_GB2312" w:hAnsi="仿宋_GB2312" w:eastAsia="仿宋_GB2312" w:cs="仿宋_GB2312"/>
          <w:b w:val="0"/>
          <w:bCs w:val="0"/>
          <w:color w:val="auto"/>
          <w:spacing w:val="8"/>
          <w:sz w:val="32"/>
          <w:szCs w:val="32"/>
          <w:lang w:eastAsia="zh-CN"/>
        </w:rPr>
        <w:t xml:space="preserve"> 研究生参评奖助金的上一学年度出现下列情形之一者，不具备参评学年当年的研究生奖助金参评资格：</w:t>
      </w:r>
    </w:p>
    <w:p w14:paraId="5E71D962">
      <w:pPr>
        <w:pStyle w:val="3"/>
        <w:keepNext w:val="0"/>
        <w:keepLines w:val="0"/>
        <w:pageBreakBefore w:val="0"/>
        <w:numPr>
          <w:ilvl w:val="0"/>
          <w:numId w:val="1"/>
        </w:numPr>
        <w:wordWrap/>
        <w:overflowPunct/>
        <w:topLinePunct w:val="0"/>
        <w:bidi w:val="0"/>
        <w:adjustRightInd w:val="0"/>
        <w:snapToGrid w:val="0"/>
        <w:spacing w:before="167" w:line="540" w:lineRule="exact"/>
        <w:ind w:left="646"/>
        <w:jc w:val="both"/>
        <w:rPr>
          <w:rFonts w:hint="eastAsia" w:ascii="仿宋_GB2312" w:hAnsi="仿宋_GB2312" w:eastAsia="仿宋_GB2312" w:cs="仿宋_GB2312"/>
          <w:b w:val="0"/>
          <w:bCs w:val="0"/>
          <w:color w:val="auto"/>
          <w:spacing w:val="7"/>
          <w:sz w:val="32"/>
          <w:szCs w:val="32"/>
          <w:lang w:eastAsia="zh-CN"/>
        </w:rPr>
      </w:pPr>
      <w:r>
        <w:rPr>
          <w:rFonts w:hint="eastAsia" w:ascii="仿宋_GB2312" w:hAnsi="仿宋_GB2312" w:eastAsia="仿宋_GB2312" w:cs="仿宋_GB2312"/>
          <w:b w:val="0"/>
          <w:bCs w:val="0"/>
          <w:color w:val="auto"/>
          <w:spacing w:val="7"/>
          <w:sz w:val="32"/>
          <w:szCs w:val="32"/>
          <w:lang w:eastAsia="zh-CN"/>
        </w:rPr>
        <w:t>在申请资料中弄虚作假；</w:t>
      </w:r>
    </w:p>
    <w:p w14:paraId="50AD7717">
      <w:pPr>
        <w:pStyle w:val="3"/>
        <w:keepNext w:val="0"/>
        <w:keepLines w:val="0"/>
        <w:pageBreakBefore w:val="0"/>
        <w:wordWrap/>
        <w:overflowPunct/>
        <w:topLinePunct w:val="0"/>
        <w:bidi w:val="0"/>
        <w:adjustRightInd w:val="0"/>
        <w:snapToGrid w:val="0"/>
        <w:spacing w:before="167" w:line="540" w:lineRule="exact"/>
        <w:ind w:firstLine="668" w:firstLineChars="200"/>
        <w:jc w:val="both"/>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pacing w:val="7"/>
          <w:sz w:val="32"/>
          <w:szCs w:val="32"/>
          <w:lang w:eastAsia="zh-CN"/>
        </w:rPr>
        <w:t>（二）因违反校纪校规受纪律处分；</w:t>
      </w:r>
    </w:p>
    <w:p w14:paraId="29BE9C2D">
      <w:pPr>
        <w:pStyle w:val="3"/>
        <w:keepNext w:val="0"/>
        <w:keepLines w:val="0"/>
        <w:pageBreakBefore w:val="0"/>
        <w:wordWrap/>
        <w:overflowPunct/>
        <w:topLinePunct w:val="0"/>
        <w:bidi w:val="0"/>
        <w:adjustRightInd w:val="0"/>
        <w:snapToGrid w:val="0"/>
        <w:spacing w:before="167" w:line="540" w:lineRule="exact"/>
        <w:ind w:firstLine="672" w:firstLineChars="200"/>
        <w:jc w:val="both"/>
        <w:rPr>
          <w:rFonts w:hint="eastAsia" w:ascii="仿宋_GB2312" w:hAnsi="仿宋_GB2312" w:eastAsia="仿宋_GB2312" w:cs="仿宋_GB2312"/>
          <w:b w:val="0"/>
          <w:bCs w:val="0"/>
          <w:color w:val="auto"/>
          <w:spacing w:val="8"/>
          <w:sz w:val="32"/>
          <w:szCs w:val="32"/>
          <w:lang w:eastAsia="zh-CN"/>
        </w:rPr>
      </w:pPr>
      <w:r>
        <w:rPr>
          <w:rFonts w:hint="eastAsia" w:ascii="仿宋_GB2312" w:hAnsi="仿宋_GB2312" w:eastAsia="仿宋_GB2312" w:cs="仿宋_GB2312"/>
          <w:b w:val="0"/>
          <w:bCs w:val="0"/>
          <w:color w:val="auto"/>
          <w:spacing w:val="8"/>
          <w:sz w:val="32"/>
          <w:szCs w:val="32"/>
          <w:lang w:eastAsia="zh-CN"/>
        </w:rPr>
        <w:t>（三）考试作弊或有抄袭、剽窃他人成果等学术不端行为；</w:t>
      </w:r>
    </w:p>
    <w:p w14:paraId="3B8E6E85">
      <w:pPr>
        <w:pStyle w:val="3"/>
        <w:keepNext w:val="0"/>
        <w:keepLines w:val="0"/>
        <w:pageBreakBefore w:val="0"/>
        <w:wordWrap/>
        <w:overflowPunct/>
        <w:topLinePunct w:val="0"/>
        <w:bidi w:val="0"/>
        <w:adjustRightInd w:val="0"/>
        <w:snapToGrid w:val="0"/>
        <w:spacing w:before="161" w:line="540" w:lineRule="exact"/>
        <w:ind w:left="646"/>
        <w:jc w:val="both"/>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pacing w:val="7"/>
          <w:sz w:val="32"/>
          <w:szCs w:val="32"/>
          <w:lang w:eastAsia="zh-CN"/>
        </w:rPr>
        <w:t>（</w:t>
      </w:r>
      <w:r>
        <w:rPr>
          <w:rFonts w:hint="eastAsia" w:ascii="仿宋_GB2312" w:hAnsi="仿宋_GB2312" w:eastAsia="仿宋_GB2312" w:cs="仿宋_GB2312"/>
          <w:b w:val="0"/>
          <w:bCs w:val="0"/>
          <w:color w:val="auto"/>
          <w:spacing w:val="7"/>
          <w:sz w:val="32"/>
          <w:szCs w:val="32"/>
          <w:lang w:val="en-US" w:eastAsia="zh-CN"/>
        </w:rPr>
        <w:t>四</w:t>
      </w:r>
      <w:r>
        <w:rPr>
          <w:rFonts w:hint="eastAsia" w:ascii="仿宋_GB2312" w:hAnsi="仿宋_GB2312" w:eastAsia="仿宋_GB2312" w:cs="仿宋_GB2312"/>
          <w:b w:val="0"/>
          <w:bCs w:val="0"/>
          <w:color w:val="auto"/>
          <w:spacing w:val="7"/>
          <w:sz w:val="32"/>
          <w:szCs w:val="32"/>
          <w:lang w:eastAsia="zh-CN"/>
        </w:rPr>
        <w:t>）科研助手工作考核不合格者；</w:t>
      </w:r>
    </w:p>
    <w:p w14:paraId="6232A859">
      <w:pPr>
        <w:pStyle w:val="3"/>
        <w:keepNext w:val="0"/>
        <w:keepLines w:val="0"/>
        <w:pageBreakBefore w:val="0"/>
        <w:wordWrap/>
        <w:overflowPunct/>
        <w:topLinePunct w:val="0"/>
        <w:bidi w:val="0"/>
        <w:adjustRightInd w:val="0"/>
        <w:snapToGrid w:val="0"/>
        <w:spacing w:before="162" w:line="540" w:lineRule="exact"/>
        <w:ind w:left="646"/>
        <w:jc w:val="both"/>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pacing w:val="7"/>
          <w:sz w:val="32"/>
          <w:szCs w:val="32"/>
          <w:lang w:eastAsia="zh-CN"/>
        </w:rPr>
        <w:t>（</w:t>
      </w:r>
      <w:r>
        <w:rPr>
          <w:rFonts w:hint="eastAsia" w:ascii="仿宋_GB2312" w:hAnsi="仿宋_GB2312" w:eastAsia="仿宋_GB2312" w:cs="仿宋_GB2312"/>
          <w:b w:val="0"/>
          <w:bCs w:val="0"/>
          <w:color w:val="auto"/>
          <w:spacing w:val="7"/>
          <w:sz w:val="32"/>
          <w:szCs w:val="32"/>
          <w:lang w:val="en-US" w:eastAsia="zh-CN"/>
        </w:rPr>
        <w:t>五</w:t>
      </w:r>
      <w:r>
        <w:rPr>
          <w:rFonts w:hint="eastAsia" w:ascii="仿宋_GB2312" w:hAnsi="仿宋_GB2312" w:eastAsia="仿宋_GB2312" w:cs="仿宋_GB2312"/>
          <w:b w:val="0"/>
          <w:bCs w:val="0"/>
          <w:color w:val="auto"/>
          <w:spacing w:val="7"/>
          <w:sz w:val="32"/>
          <w:szCs w:val="32"/>
          <w:lang w:eastAsia="zh-CN"/>
        </w:rPr>
        <w:t>）考核学年度有课程考试不合格者；</w:t>
      </w:r>
    </w:p>
    <w:p w14:paraId="4C715BD6">
      <w:pPr>
        <w:pStyle w:val="3"/>
        <w:keepNext w:val="0"/>
        <w:keepLines w:val="0"/>
        <w:pageBreakBefore w:val="0"/>
        <w:wordWrap/>
        <w:overflowPunct/>
        <w:topLinePunct w:val="0"/>
        <w:bidi w:val="0"/>
        <w:adjustRightInd w:val="0"/>
        <w:snapToGrid w:val="0"/>
        <w:spacing w:before="167" w:line="540" w:lineRule="exact"/>
        <w:ind w:firstLine="672" w:firstLineChars="200"/>
        <w:jc w:val="both"/>
        <w:rPr>
          <w:rFonts w:hint="eastAsia" w:ascii="仿宋_GB2312" w:hAnsi="仿宋_GB2312" w:eastAsia="仿宋_GB2312" w:cs="仿宋_GB2312"/>
          <w:b w:val="0"/>
          <w:bCs w:val="0"/>
          <w:color w:val="auto"/>
          <w:spacing w:val="8"/>
          <w:sz w:val="32"/>
          <w:szCs w:val="32"/>
          <w:lang w:eastAsia="zh-CN"/>
        </w:rPr>
      </w:pPr>
      <w:r>
        <w:rPr>
          <w:rFonts w:hint="eastAsia" w:ascii="仿宋_GB2312" w:hAnsi="仿宋_GB2312" w:eastAsia="仿宋_GB2312" w:cs="仿宋_GB2312"/>
          <w:b w:val="0"/>
          <w:bCs w:val="0"/>
          <w:color w:val="auto"/>
          <w:spacing w:val="8"/>
          <w:sz w:val="32"/>
          <w:szCs w:val="32"/>
          <w:lang w:eastAsia="zh-CN"/>
        </w:rPr>
        <w:t>（</w:t>
      </w:r>
      <w:r>
        <w:rPr>
          <w:rFonts w:hint="eastAsia" w:ascii="仿宋_GB2312" w:hAnsi="仿宋_GB2312" w:eastAsia="仿宋_GB2312" w:cs="仿宋_GB2312"/>
          <w:b w:val="0"/>
          <w:bCs w:val="0"/>
          <w:color w:val="auto"/>
          <w:spacing w:val="8"/>
          <w:sz w:val="32"/>
          <w:szCs w:val="32"/>
          <w:lang w:val="en-US" w:eastAsia="zh-CN"/>
        </w:rPr>
        <w:t>六</w:t>
      </w:r>
      <w:r>
        <w:rPr>
          <w:rFonts w:hint="eastAsia" w:ascii="仿宋_GB2312" w:hAnsi="仿宋_GB2312" w:eastAsia="仿宋_GB2312" w:cs="仿宋_GB2312"/>
          <w:b w:val="0"/>
          <w:bCs w:val="0"/>
          <w:color w:val="auto"/>
          <w:spacing w:val="8"/>
          <w:sz w:val="32"/>
          <w:szCs w:val="32"/>
          <w:lang w:eastAsia="zh-CN"/>
        </w:rPr>
        <w:t>）</w:t>
      </w:r>
      <w:r>
        <w:rPr>
          <w:rFonts w:hint="eastAsia" w:ascii="仿宋_GB2312" w:hAnsi="仿宋_GB2312" w:eastAsia="仿宋_GB2312" w:cs="仿宋_GB2312"/>
          <w:b w:val="0"/>
          <w:bCs w:val="0"/>
          <w:color w:val="auto"/>
          <w:spacing w:val="8"/>
          <w:sz w:val="32"/>
          <w:szCs w:val="32"/>
          <w:highlight w:val="none"/>
          <w:lang w:eastAsia="zh-CN"/>
        </w:rPr>
        <w:t>导师及学院研究生奖助学金评审委员会根据相关规定认定的需取消参评资格的其他情形。</w:t>
      </w:r>
    </w:p>
    <w:p w14:paraId="33DD0419">
      <w:pPr>
        <w:pStyle w:val="3"/>
        <w:keepNext w:val="0"/>
        <w:keepLines w:val="0"/>
        <w:pageBreakBefore w:val="0"/>
        <w:wordWrap/>
        <w:overflowPunct/>
        <w:topLinePunct w:val="0"/>
        <w:bidi w:val="0"/>
        <w:adjustRightInd w:val="0"/>
        <w:snapToGrid w:val="0"/>
        <w:spacing w:before="167" w:line="540" w:lineRule="exact"/>
        <w:ind w:firstLine="672" w:firstLineChars="200"/>
        <w:jc w:val="both"/>
        <w:rPr>
          <w:rFonts w:hint="eastAsia" w:ascii="仿宋_GB2312" w:hAnsi="仿宋_GB2312" w:eastAsia="仿宋_GB2312" w:cs="仿宋_GB2312"/>
          <w:b w:val="0"/>
          <w:bCs w:val="0"/>
          <w:color w:val="auto"/>
          <w:spacing w:val="8"/>
          <w:sz w:val="32"/>
          <w:szCs w:val="32"/>
          <w:lang w:eastAsia="zh-CN"/>
        </w:rPr>
      </w:pPr>
      <w:r>
        <w:rPr>
          <w:rFonts w:hint="eastAsia" w:ascii="仿宋_GB2312" w:hAnsi="仿宋_GB2312" w:eastAsia="仿宋_GB2312" w:cs="仿宋_GB2312"/>
          <w:b w:val="0"/>
          <w:bCs w:val="0"/>
          <w:color w:val="auto"/>
          <w:spacing w:val="8"/>
          <w:sz w:val="32"/>
          <w:szCs w:val="32"/>
          <w:lang w:eastAsia="zh-CN"/>
        </w:rPr>
        <w:t>如因以上情形无参评研究生奖助金的资格</w:t>
      </w:r>
      <w:r>
        <w:rPr>
          <w:rFonts w:hint="eastAsia" w:ascii="仿宋_GB2312" w:hAnsi="仿宋_GB2312" w:eastAsia="仿宋_GB2312" w:cs="仿宋_GB2312"/>
          <w:b w:val="0"/>
          <w:bCs w:val="0"/>
          <w:color w:val="auto"/>
          <w:spacing w:val="8"/>
          <w:sz w:val="32"/>
          <w:szCs w:val="32"/>
          <w:lang w:val="en-US" w:eastAsia="zh-CN"/>
        </w:rPr>
        <w:t>的学生，</w:t>
      </w:r>
      <w:r>
        <w:rPr>
          <w:rFonts w:hint="eastAsia" w:ascii="仿宋_GB2312" w:hAnsi="仿宋_GB2312" w:eastAsia="仿宋_GB2312" w:cs="仿宋_GB2312"/>
          <w:b w:val="0"/>
          <w:bCs w:val="0"/>
          <w:color w:val="auto"/>
          <w:spacing w:val="8"/>
          <w:sz w:val="32"/>
          <w:szCs w:val="32"/>
          <w:lang w:eastAsia="zh-CN"/>
        </w:rPr>
        <w:t>下一参评学年如仍处于基本修业年限（学制）内，可申请参加奖助金评审。</w:t>
      </w:r>
    </w:p>
    <w:p w14:paraId="40F30760">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outlineLvl w:val="0"/>
        <w:rPr>
          <w:rFonts w:hint="eastAsia" w:ascii="Times New Roman" w:hAnsi="Times New Roman" w:eastAsia="黑体" w:cs="Times New Roman"/>
          <w:bCs/>
          <w:snapToGrid w:val="0"/>
          <w:kern w:val="2"/>
          <w:sz w:val="32"/>
          <w:szCs w:val="44"/>
          <w:lang w:eastAsia="zh-CN"/>
        </w:rPr>
      </w:pPr>
      <w:r>
        <w:rPr>
          <w:rFonts w:hint="eastAsia" w:ascii="Times New Roman" w:hAnsi="Times New Roman" w:eastAsia="黑体" w:cs="Times New Roman"/>
          <w:bCs/>
          <w:snapToGrid w:val="0"/>
          <w:kern w:val="2"/>
          <w:sz w:val="32"/>
          <w:szCs w:val="44"/>
          <w:lang w:eastAsia="zh-CN"/>
        </w:rPr>
        <w:t>第五章  评</w:t>
      </w:r>
      <w:r>
        <w:rPr>
          <w:rFonts w:hint="eastAsia" w:ascii="Times New Roman" w:hAnsi="Times New Roman" w:eastAsia="黑体" w:cs="Times New Roman"/>
          <w:bCs/>
          <w:snapToGrid w:val="0"/>
          <w:kern w:val="2"/>
          <w:sz w:val="32"/>
          <w:szCs w:val="44"/>
          <w:lang w:val="en-US" w:eastAsia="zh-CN"/>
        </w:rPr>
        <w:t>选</w:t>
      </w:r>
      <w:r>
        <w:rPr>
          <w:rFonts w:hint="eastAsia" w:ascii="Times New Roman" w:hAnsi="Times New Roman" w:eastAsia="黑体" w:cs="Times New Roman"/>
          <w:bCs/>
          <w:snapToGrid w:val="0"/>
          <w:kern w:val="2"/>
          <w:sz w:val="32"/>
          <w:szCs w:val="44"/>
          <w:lang w:eastAsia="zh-CN"/>
        </w:rPr>
        <w:t>标准</w:t>
      </w:r>
    </w:p>
    <w:p w14:paraId="466ED4FA">
      <w:pPr>
        <w:pStyle w:val="3"/>
        <w:keepNext w:val="0"/>
        <w:keepLines w:val="0"/>
        <w:pageBreakBefore w:val="0"/>
        <w:wordWrap/>
        <w:overflowPunct/>
        <w:topLinePunct w:val="0"/>
        <w:bidi w:val="0"/>
        <w:adjustRightInd w:val="0"/>
        <w:snapToGrid w:val="0"/>
        <w:spacing w:before="2" w:line="540" w:lineRule="exact"/>
        <w:ind w:left="655"/>
        <w:jc w:val="both"/>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bCs/>
          <w:snapToGrid/>
          <w:color w:val="auto"/>
          <w:sz w:val="32"/>
          <w:szCs w:val="32"/>
          <w:lang w:val="en-US" w:eastAsia="zh-CN" w:bidi="ar-SA"/>
        </w:rPr>
        <w:t>第十一条</w:t>
      </w:r>
      <w:r>
        <w:rPr>
          <w:rFonts w:hint="eastAsia" w:ascii="仿宋_GB2312" w:hAnsi="仿宋_GB2312" w:eastAsia="仿宋_GB2312" w:cs="仿宋_GB2312"/>
          <w:b w:val="0"/>
          <w:bCs w:val="0"/>
          <w:color w:val="auto"/>
          <w:spacing w:val="140"/>
          <w:sz w:val="32"/>
          <w:szCs w:val="32"/>
          <w:lang w:eastAsia="zh-CN"/>
        </w:rPr>
        <w:t xml:space="preserve"> </w:t>
      </w:r>
      <w:r>
        <w:rPr>
          <w:rFonts w:hint="eastAsia" w:ascii="仿宋_GB2312" w:hAnsi="仿宋_GB2312" w:eastAsia="仿宋_GB2312" w:cs="仿宋_GB2312"/>
          <w:b w:val="0"/>
          <w:bCs w:val="0"/>
          <w:color w:val="auto"/>
          <w:spacing w:val="6"/>
          <w:sz w:val="32"/>
          <w:szCs w:val="32"/>
          <w:lang w:eastAsia="zh-CN"/>
        </w:rPr>
        <w:t>博士研究生奖助金的评选标准：</w:t>
      </w:r>
    </w:p>
    <w:p w14:paraId="24ED5243">
      <w:pPr>
        <w:pStyle w:val="3"/>
        <w:keepNext w:val="0"/>
        <w:keepLines w:val="0"/>
        <w:pageBreakBefore w:val="0"/>
        <w:wordWrap/>
        <w:overflowPunct/>
        <w:topLinePunct w:val="0"/>
        <w:bidi w:val="0"/>
        <w:adjustRightInd w:val="0"/>
        <w:snapToGrid w:val="0"/>
        <w:spacing w:before="167" w:line="540" w:lineRule="exact"/>
        <w:ind w:firstLine="672" w:firstLineChars="200"/>
        <w:jc w:val="both"/>
        <w:rPr>
          <w:rFonts w:hint="eastAsia" w:ascii="仿宋_GB2312" w:hAnsi="仿宋_GB2312" w:eastAsia="仿宋_GB2312" w:cs="仿宋_GB2312"/>
          <w:b w:val="0"/>
          <w:bCs w:val="0"/>
          <w:color w:val="auto"/>
          <w:spacing w:val="8"/>
          <w:sz w:val="32"/>
          <w:szCs w:val="32"/>
          <w:lang w:eastAsia="zh-CN"/>
        </w:rPr>
      </w:pPr>
      <w:r>
        <w:rPr>
          <w:rFonts w:hint="eastAsia" w:ascii="仿宋_GB2312" w:hAnsi="仿宋_GB2312" w:eastAsia="仿宋_GB2312" w:cs="仿宋_GB2312"/>
          <w:b w:val="0"/>
          <w:bCs w:val="0"/>
          <w:color w:val="auto"/>
          <w:spacing w:val="8"/>
          <w:sz w:val="32"/>
          <w:szCs w:val="32"/>
          <w:lang w:eastAsia="zh-CN"/>
        </w:rPr>
        <w:t>（一）校长奖学金：</w:t>
      </w:r>
      <w:r>
        <w:rPr>
          <w:rFonts w:hint="eastAsia" w:ascii="仿宋_GB2312" w:hAnsi="仿宋_GB2312" w:eastAsia="仿宋_GB2312" w:cs="仿宋_GB2312"/>
          <w:b w:val="0"/>
          <w:bCs w:val="0"/>
          <w:color w:val="auto"/>
          <w:spacing w:val="8"/>
          <w:sz w:val="32"/>
          <w:szCs w:val="32"/>
          <w:highlight w:val="none"/>
          <w:lang w:eastAsia="zh-CN"/>
        </w:rPr>
        <w:t>学业成绩优异</w:t>
      </w:r>
      <w:r>
        <w:rPr>
          <w:rFonts w:hint="eastAsia" w:ascii="仿宋_GB2312" w:hAnsi="仿宋_GB2312" w:eastAsia="仿宋_GB2312" w:cs="仿宋_GB2312"/>
          <w:b w:val="0"/>
          <w:bCs w:val="0"/>
          <w:color w:val="auto"/>
          <w:spacing w:val="8"/>
          <w:sz w:val="32"/>
          <w:szCs w:val="32"/>
          <w:lang w:eastAsia="zh-CN"/>
        </w:rPr>
        <w:t>，科研能力显著，发展潜力突出。</w:t>
      </w:r>
    </w:p>
    <w:p w14:paraId="3F79AD35">
      <w:pPr>
        <w:pStyle w:val="3"/>
        <w:keepNext w:val="0"/>
        <w:keepLines w:val="0"/>
        <w:pageBreakBefore w:val="0"/>
        <w:wordWrap/>
        <w:overflowPunct/>
        <w:topLinePunct w:val="0"/>
        <w:bidi w:val="0"/>
        <w:adjustRightInd w:val="0"/>
        <w:snapToGrid w:val="0"/>
        <w:spacing w:before="167" w:line="540" w:lineRule="exact"/>
        <w:ind w:firstLine="672" w:firstLineChars="200"/>
        <w:jc w:val="both"/>
        <w:rPr>
          <w:rFonts w:hint="eastAsia" w:ascii="仿宋_GB2312" w:hAnsi="仿宋_GB2312" w:eastAsia="仿宋_GB2312" w:cs="仿宋_GB2312"/>
          <w:b w:val="0"/>
          <w:bCs w:val="0"/>
          <w:color w:val="auto"/>
          <w:spacing w:val="8"/>
          <w:sz w:val="32"/>
          <w:szCs w:val="32"/>
          <w:highlight w:val="none"/>
          <w:lang w:eastAsia="zh-CN"/>
        </w:rPr>
      </w:pPr>
      <w:r>
        <w:rPr>
          <w:rFonts w:hint="eastAsia" w:ascii="仿宋_GB2312" w:hAnsi="仿宋_GB2312" w:eastAsia="仿宋_GB2312" w:cs="仿宋_GB2312"/>
          <w:b w:val="0"/>
          <w:bCs w:val="0"/>
          <w:color w:val="auto"/>
          <w:spacing w:val="8"/>
          <w:sz w:val="32"/>
          <w:szCs w:val="32"/>
          <w:lang w:eastAsia="zh-CN"/>
        </w:rPr>
        <w:t>（二）</w:t>
      </w:r>
      <w:r>
        <w:rPr>
          <w:rFonts w:hint="eastAsia" w:ascii="仿宋_GB2312" w:hAnsi="仿宋_GB2312" w:eastAsia="仿宋_GB2312" w:cs="仿宋_GB2312"/>
          <w:b w:val="0"/>
          <w:bCs w:val="0"/>
          <w:color w:val="auto"/>
          <w:spacing w:val="8"/>
          <w:sz w:val="32"/>
          <w:szCs w:val="32"/>
          <w:highlight w:val="none"/>
          <w:lang w:eastAsia="zh-CN"/>
        </w:rPr>
        <w:t>一等助研金：学业成绩优</w:t>
      </w:r>
      <w:r>
        <w:rPr>
          <w:rFonts w:hint="eastAsia" w:ascii="仿宋_GB2312" w:hAnsi="仿宋_GB2312" w:eastAsia="仿宋_GB2312" w:cs="仿宋_GB2312"/>
          <w:b w:val="0"/>
          <w:bCs w:val="0"/>
          <w:color w:val="auto"/>
          <w:spacing w:val="8"/>
          <w:sz w:val="32"/>
          <w:szCs w:val="32"/>
          <w:highlight w:val="none"/>
          <w:lang w:val="en-US" w:eastAsia="zh-CN"/>
        </w:rPr>
        <w:t>秀</w:t>
      </w:r>
      <w:r>
        <w:rPr>
          <w:rFonts w:hint="eastAsia" w:ascii="仿宋_GB2312" w:hAnsi="仿宋_GB2312" w:eastAsia="仿宋_GB2312" w:cs="仿宋_GB2312"/>
          <w:b w:val="0"/>
          <w:bCs w:val="0"/>
          <w:color w:val="auto"/>
          <w:spacing w:val="8"/>
          <w:sz w:val="32"/>
          <w:szCs w:val="32"/>
          <w:highlight w:val="none"/>
          <w:lang w:eastAsia="zh-CN"/>
        </w:rPr>
        <w:t>，科研</w:t>
      </w:r>
      <w:r>
        <w:rPr>
          <w:rFonts w:hint="eastAsia" w:ascii="仿宋_GB2312" w:hAnsi="仿宋_GB2312" w:eastAsia="仿宋_GB2312" w:cs="仿宋_GB2312"/>
          <w:b w:val="0"/>
          <w:bCs w:val="0"/>
          <w:color w:val="auto"/>
          <w:spacing w:val="8"/>
          <w:sz w:val="32"/>
          <w:szCs w:val="32"/>
          <w:highlight w:val="none"/>
          <w:lang w:val="en-US" w:eastAsia="zh-CN"/>
        </w:rPr>
        <w:t>能力较好</w:t>
      </w:r>
      <w:r>
        <w:rPr>
          <w:rFonts w:hint="eastAsia" w:ascii="仿宋_GB2312" w:hAnsi="仿宋_GB2312" w:eastAsia="仿宋_GB2312" w:cs="仿宋_GB2312"/>
          <w:b w:val="0"/>
          <w:bCs w:val="0"/>
          <w:color w:val="auto"/>
          <w:spacing w:val="8"/>
          <w:sz w:val="32"/>
          <w:szCs w:val="32"/>
          <w:highlight w:val="none"/>
          <w:lang w:eastAsia="zh-CN"/>
        </w:rPr>
        <w:t>，具有较大发展潜力。</w:t>
      </w:r>
    </w:p>
    <w:p w14:paraId="39F68E11">
      <w:pPr>
        <w:pStyle w:val="3"/>
        <w:keepNext w:val="0"/>
        <w:keepLines w:val="0"/>
        <w:pageBreakBefore w:val="0"/>
        <w:wordWrap/>
        <w:overflowPunct/>
        <w:topLinePunct w:val="0"/>
        <w:bidi w:val="0"/>
        <w:adjustRightInd w:val="0"/>
        <w:snapToGrid w:val="0"/>
        <w:spacing w:before="167" w:line="540" w:lineRule="exact"/>
        <w:ind w:firstLine="672" w:firstLineChars="200"/>
        <w:jc w:val="both"/>
        <w:rPr>
          <w:rFonts w:hint="eastAsia" w:ascii="仿宋_GB2312" w:hAnsi="仿宋_GB2312" w:eastAsia="仿宋_GB2312" w:cs="仿宋_GB2312"/>
          <w:b w:val="0"/>
          <w:bCs w:val="0"/>
          <w:color w:val="auto"/>
          <w:spacing w:val="8"/>
          <w:sz w:val="32"/>
          <w:szCs w:val="32"/>
          <w:lang w:eastAsia="zh-CN"/>
        </w:rPr>
      </w:pPr>
      <w:r>
        <w:rPr>
          <w:rFonts w:hint="eastAsia" w:ascii="仿宋_GB2312" w:hAnsi="仿宋_GB2312" w:eastAsia="仿宋_GB2312" w:cs="仿宋_GB2312"/>
          <w:b w:val="0"/>
          <w:bCs w:val="0"/>
          <w:color w:val="auto"/>
          <w:spacing w:val="8"/>
          <w:sz w:val="32"/>
          <w:szCs w:val="32"/>
          <w:highlight w:val="none"/>
          <w:lang w:eastAsia="zh-CN"/>
        </w:rPr>
        <w:t>（三）二等助研金：</w:t>
      </w:r>
      <w:r>
        <w:rPr>
          <w:rFonts w:hint="eastAsia" w:ascii="仿宋_GB2312" w:hAnsi="仿宋_GB2312" w:eastAsia="仿宋_GB2312" w:cs="仿宋_GB2312"/>
          <w:b w:val="0"/>
          <w:bCs w:val="0"/>
          <w:color w:val="auto"/>
          <w:spacing w:val="8"/>
          <w:sz w:val="32"/>
          <w:szCs w:val="32"/>
          <w:lang w:eastAsia="zh-CN"/>
        </w:rPr>
        <w:t>符合评审资格，且未获得校长奖学金、一等助研金。</w:t>
      </w:r>
    </w:p>
    <w:p w14:paraId="42B4E46A">
      <w:pPr>
        <w:pStyle w:val="3"/>
        <w:keepNext w:val="0"/>
        <w:keepLines w:val="0"/>
        <w:pageBreakBefore w:val="0"/>
        <w:wordWrap/>
        <w:overflowPunct/>
        <w:topLinePunct w:val="0"/>
        <w:bidi w:val="0"/>
        <w:adjustRightInd w:val="0"/>
        <w:snapToGrid w:val="0"/>
        <w:spacing w:before="147" w:line="540" w:lineRule="exact"/>
        <w:ind w:left="655"/>
        <w:jc w:val="both"/>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bCs/>
          <w:snapToGrid/>
          <w:color w:val="auto"/>
          <w:sz w:val="32"/>
          <w:szCs w:val="32"/>
          <w:lang w:val="en-US" w:eastAsia="zh-CN" w:bidi="ar-SA"/>
        </w:rPr>
        <w:t>第十二条</w:t>
      </w:r>
      <w:r>
        <w:rPr>
          <w:rFonts w:hint="eastAsia" w:ascii="仿宋_GB2312" w:hAnsi="仿宋_GB2312" w:eastAsia="仿宋_GB2312" w:cs="仿宋_GB2312"/>
          <w:b w:val="0"/>
          <w:bCs w:val="0"/>
          <w:color w:val="auto"/>
          <w:spacing w:val="7"/>
          <w:sz w:val="32"/>
          <w:szCs w:val="32"/>
          <w:lang w:eastAsia="zh-CN"/>
        </w:rPr>
        <w:t xml:space="preserve">  硕士研究生奖助金的评选标准：</w:t>
      </w:r>
    </w:p>
    <w:p w14:paraId="30AB7FDD">
      <w:pPr>
        <w:pStyle w:val="3"/>
        <w:keepNext w:val="0"/>
        <w:keepLines w:val="0"/>
        <w:pageBreakBefore w:val="0"/>
        <w:wordWrap/>
        <w:overflowPunct/>
        <w:topLinePunct w:val="0"/>
        <w:bidi w:val="0"/>
        <w:adjustRightInd w:val="0"/>
        <w:snapToGrid w:val="0"/>
        <w:spacing w:before="158" w:line="540" w:lineRule="exact"/>
        <w:ind w:left="646"/>
        <w:jc w:val="both"/>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pacing w:val="8"/>
          <w:sz w:val="32"/>
          <w:szCs w:val="32"/>
          <w:lang w:eastAsia="zh-CN"/>
        </w:rPr>
        <w:t>（一）学术学位硕士研究生奖助金评选标准：</w:t>
      </w:r>
    </w:p>
    <w:p w14:paraId="3E551475">
      <w:pPr>
        <w:pStyle w:val="3"/>
        <w:keepNext w:val="0"/>
        <w:keepLines w:val="0"/>
        <w:pageBreakBefore w:val="0"/>
        <w:wordWrap/>
        <w:overflowPunct/>
        <w:topLinePunct w:val="0"/>
        <w:bidi w:val="0"/>
        <w:adjustRightInd w:val="0"/>
        <w:snapToGrid w:val="0"/>
        <w:spacing w:before="167" w:line="540" w:lineRule="exact"/>
        <w:ind w:firstLine="672" w:firstLineChars="200"/>
        <w:jc w:val="both"/>
        <w:rPr>
          <w:rFonts w:hint="eastAsia" w:ascii="仿宋_GB2312" w:hAnsi="仿宋_GB2312" w:eastAsia="仿宋_GB2312" w:cs="仿宋_GB2312"/>
          <w:b w:val="0"/>
          <w:bCs w:val="0"/>
          <w:color w:val="auto"/>
          <w:spacing w:val="8"/>
          <w:sz w:val="32"/>
          <w:szCs w:val="32"/>
          <w:lang w:eastAsia="zh-CN"/>
        </w:rPr>
      </w:pPr>
      <w:r>
        <w:rPr>
          <w:rFonts w:hint="eastAsia" w:ascii="仿宋_GB2312" w:hAnsi="仿宋_GB2312" w:eastAsia="仿宋_GB2312" w:cs="仿宋_GB2312"/>
          <w:b w:val="0"/>
          <w:bCs w:val="0"/>
          <w:color w:val="auto"/>
          <w:spacing w:val="8"/>
          <w:sz w:val="32"/>
          <w:szCs w:val="32"/>
          <w:lang w:eastAsia="zh-CN"/>
        </w:rPr>
        <w:t>1</w:t>
      </w:r>
      <w:r>
        <w:rPr>
          <w:rFonts w:hint="eastAsia" w:ascii="仿宋_GB2312" w:hAnsi="仿宋_GB2312" w:eastAsia="仿宋_GB2312" w:cs="仿宋_GB2312"/>
          <w:b w:val="0"/>
          <w:bCs w:val="0"/>
          <w:color w:val="auto"/>
          <w:spacing w:val="8"/>
          <w:sz w:val="32"/>
          <w:szCs w:val="32"/>
          <w:lang w:val="en-US" w:eastAsia="zh-CN"/>
        </w:rPr>
        <w:t>.</w:t>
      </w:r>
      <w:r>
        <w:rPr>
          <w:rFonts w:hint="eastAsia" w:ascii="仿宋_GB2312" w:hAnsi="仿宋_GB2312" w:eastAsia="仿宋_GB2312" w:cs="仿宋_GB2312"/>
          <w:b w:val="0"/>
          <w:bCs w:val="0"/>
          <w:color w:val="auto"/>
          <w:spacing w:val="8"/>
          <w:sz w:val="32"/>
          <w:szCs w:val="32"/>
          <w:lang w:eastAsia="zh-CN"/>
        </w:rPr>
        <w:t>一等奖助金：</w:t>
      </w:r>
      <w:r>
        <w:rPr>
          <w:rFonts w:hint="eastAsia" w:ascii="仿宋_GB2312" w:hAnsi="仿宋_GB2312" w:eastAsia="仿宋_GB2312" w:cs="仿宋_GB2312"/>
          <w:b w:val="0"/>
          <w:bCs w:val="0"/>
          <w:color w:val="auto"/>
          <w:spacing w:val="8"/>
          <w:sz w:val="32"/>
          <w:szCs w:val="32"/>
          <w:lang w:val="en-US" w:eastAsia="zh-CN"/>
        </w:rPr>
        <w:t>课业成绩优良</w:t>
      </w:r>
      <w:r>
        <w:rPr>
          <w:rFonts w:hint="eastAsia" w:ascii="仿宋_GB2312" w:hAnsi="仿宋_GB2312" w:eastAsia="仿宋_GB2312" w:cs="仿宋_GB2312"/>
          <w:b w:val="0"/>
          <w:bCs w:val="0"/>
          <w:color w:val="auto"/>
          <w:spacing w:val="8"/>
          <w:sz w:val="32"/>
          <w:szCs w:val="32"/>
          <w:lang w:eastAsia="zh-CN"/>
        </w:rPr>
        <w:t>，创新能力较强，具有较大学术发展潜力或体现创新能力的科研成果；</w:t>
      </w:r>
    </w:p>
    <w:p w14:paraId="60FE97CE">
      <w:pPr>
        <w:pStyle w:val="3"/>
        <w:keepNext w:val="0"/>
        <w:keepLines w:val="0"/>
        <w:pageBreakBefore w:val="0"/>
        <w:wordWrap/>
        <w:overflowPunct/>
        <w:topLinePunct w:val="0"/>
        <w:bidi w:val="0"/>
        <w:adjustRightInd w:val="0"/>
        <w:snapToGrid w:val="0"/>
        <w:spacing w:before="167" w:line="540" w:lineRule="exact"/>
        <w:ind w:firstLine="672" w:firstLineChars="200"/>
        <w:jc w:val="both"/>
        <w:rPr>
          <w:rFonts w:hint="eastAsia" w:ascii="仿宋_GB2312" w:hAnsi="仿宋_GB2312" w:eastAsia="仿宋_GB2312" w:cs="仿宋_GB2312"/>
          <w:b w:val="0"/>
          <w:bCs w:val="0"/>
          <w:color w:val="auto"/>
          <w:spacing w:val="8"/>
          <w:sz w:val="32"/>
          <w:szCs w:val="32"/>
          <w:lang w:eastAsia="zh-CN"/>
        </w:rPr>
      </w:pPr>
      <w:r>
        <w:rPr>
          <w:rFonts w:hint="eastAsia" w:ascii="仿宋_GB2312" w:hAnsi="仿宋_GB2312" w:eastAsia="仿宋_GB2312" w:cs="仿宋_GB2312"/>
          <w:b w:val="0"/>
          <w:bCs w:val="0"/>
          <w:color w:val="auto"/>
          <w:spacing w:val="8"/>
          <w:sz w:val="32"/>
          <w:szCs w:val="32"/>
          <w:lang w:eastAsia="zh-CN"/>
        </w:rPr>
        <w:t>2.二等奖助金：</w:t>
      </w:r>
      <w:r>
        <w:rPr>
          <w:rFonts w:hint="eastAsia" w:ascii="仿宋_GB2312" w:hAnsi="仿宋_GB2312" w:eastAsia="仿宋_GB2312" w:cs="仿宋_GB2312"/>
          <w:b w:val="0"/>
          <w:bCs w:val="0"/>
          <w:color w:val="auto"/>
          <w:spacing w:val="8"/>
          <w:sz w:val="32"/>
          <w:szCs w:val="32"/>
          <w:lang w:val="en-US" w:eastAsia="zh-CN"/>
        </w:rPr>
        <w:t>课业成绩优良</w:t>
      </w:r>
      <w:r>
        <w:rPr>
          <w:rFonts w:hint="eastAsia" w:ascii="仿宋_GB2312" w:hAnsi="仿宋_GB2312" w:eastAsia="仿宋_GB2312" w:cs="仿宋_GB2312"/>
          <w:b w:val="0"/>
          <w:bCs w:val="0"/>
          <w:color w:val="auto"/>
          <w:spacing w:val="8"/>
          <w:sz w:val="32"/>
          <w:szCs w:val="32"/>
          <w:lang w:eastAsia="zh-CN"/>
        </w:rPr>
        <w:t>，具有一定的科研创新能力和学术发展潜力；</w:t>
      </w:r>
    </w:p>
    <w:p w14:paraId="2212A8BB">
      <w:pPr>
        <w:pStyle w:val="3"/>
        <w:keepNext w:val="0"/>
        <w:keepLines w:val="0"/>
        <w:pageBreakBefore w:val="0"/>
        <w:wordWrap/>
        <w:overflowPunct/>
        <w:topLinePunct w:val="0"/>
        <w:bidi w:val="0"/>
        <w:adjustRightInd w:val="0"/>
        <w:snapToGrid w:val="0"/>
        <w:spacing w:before="167" w:line="540" w:lineRule="exact"/>
        <w:jc w:val="both"/>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pacing w:val="8"/>
          <w:sz w:val="32"/>
          <w:szCs w:val="32"/>
          <w:lang w:eastAsia="zh-CN"/>
        </w:rPr>
        <w:t xml:space="preserve">    </w:t>
      </w:r>
      <w:r>
        <w:rPr>
          <w:rFonts w:hint="eastAsia" w:ascii="仿宋_GB2312" w:hAnsi="仿宋_GB2312" w:eastAsia="仿宋_GB2312" w:cs="仿宋_GB2312"/>
          <w:b w:val="0"/>
          <w:bCs w:val="0"/>
          <w:color w:val="auto"/>
          <w:spacing w:val="4"/>
          <w:position w:val="16"/>
          <w:sz w:val="32"/>
          <w:szCs w:val="32"/>
          <w:lang w:eastAsia="zh-CN"/>
        </w:rPr>
        <w:t>3</w:t>
      </w:r>
      <w:r>
        <w:rPr>
          <w:rFonts w:hint="eastAsia" w:ascii="仿宋_GB2312" w:hAnsi="仿宋_GB2312" w:eastAsia="仿宋_GB2312" w:cs="仿宋_GB2312"/>
          <w:b w:val="0"/>
          <w:bCs w:val="0"/>
          <w:color w:val="auto"/>
          <w:spacing w:val="4"/>
          <w:position w:val="16"/>
          <w:sz w:val="32"/>
          <w:szCs w:val="32"/>
          <w:lang w:val="en-US" w:eastAsia="zh-CN"/>
        </w:rPr>
        <w:t>.</w:t>
      </w:r>
      <w:r>
        <w:rPr>
          <w:rFonts w:hint="eastAsia" w:ascii="仿宋_GB2312" w:hAnsi="仿宋_GB2312" w:eastAsia="仿宋_GB2312" w:cs="仿宋_GB2312"/>
          <w:b w:val="0"/>
          <w:bCs w:val="0"/>
          <w:color w:val="auto"/>
          <w:spacing w:val="4"/>
          <w:position w:val="16"/>
          <w:sz w:val="32"/>
          <w:szCs w:val="32"/>
          <w:lang w:eastAsia="zh-CN"/>
        </w:rPr>
        <w:t>三等奖助金：符合评审资格，且未获得</w:t>
      </w:r>
      <w:r>
        <w:rPr>
          <w:rFonts w:hint="eastAsia" w:ascii="仿宋_GB2312" w:hAnsi="仿宋_GB2312" w:eastAsia="仿宋_GB2312" w:cs="仿宋_GB2312"/>
          <w:b w:val="0"/>
          <w:bCs w:val="0"/>
          <w:color w:val="auto"/>
          <w:spacing w:val="3"/>
          <w:position w:val="16"/>
          <w:sz w:val="32"/>
          <w:szCs w:val="32"/>
          <w:lang w:eastAsia="zh-CN"/>
        </w:rPr>
        <w:t>一等、二等奖助金。</w:t>
      </w:r>
    </w:p>
    <w:p w14:paraId="40DFE12E">
      <w:pPr>
        <w:pStyle w:val="3"/>
        <w:keepNext w:val="0"/>
        <w:keepLines w:val="0"/>
        <w:pageBreakBefore w:val="0"/>
        <w:wordWrap/>
        <w:overflowPunct/>
        <w:topLinePunct w:val="0"/>
        <w:bidi w:val="0"/>
        <w:adjustRightInd w:val="0"/>
        <w:snapToGrid w:val="0"/>
        <w:spacing w:line="540" w:lineRule="exact"/>
        <w:ind w:left="648"/>
        <w:jc w:val="both"/>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pacing w:val="8"/>
          <w:sz w:val="32"/>
          <w:szCs w:val="32"/>
          <w:lang w:eastAsia="zh-CN"/>
        </w:rPr>
        <w:t>（二）专业学位硕士研究生奖助金评选标准：</w:t>
      </w:r>
    </w:p>
    <w:p w14:paraId="67CE73FB">
      <w:pPr>
        <w:pStyle w:val="3"/>
        <w:keepNext w:val="0"/>
        <w:keepLines w:val="0"/>
        <w:pageBreakBefore w:val="0"/>
        <w:wordWrap/>
        <w:overflowPunct/>
        <w:topLinePunct w:val="0"/>
        <w:bidi w:val="0"/>
        <w:adjustRightInd w:val="0"/>
        <w:snapToGrid w:val="0"/>
        <w:spacing w:before="156" w:line="540" w:lineRule="exact"/>
        <w:ind w:left="4" w:right="248" w:firstLine="653"/>
        <w:jc w:val="both"/>
        <w:rPr>
          <w:rFonts w:hint="eastAsia" w:ascii="仿宋_GB2312" w:hAnsi="仿宋_GB2312" w:eastAsia="仿宋_GB2312" w:cs="仿宋_GB2312"/>
          <w:b w:val="0"/>
          <w:bCs w:val="0"/>
          <w:color w:val="auto"/>
          <w:spacing w:val="3"/>
          <w:sz w:val="32"/>
          <w:szCs w:val="32"/>
          <w:lang w:eastAsia="zh-CN"/>
        </w:rPr>
      </w:pPr>
      <w:r>
        <w:rPr>
          <w:rFonts w:hint="eastAsia" w:ascii="仿宋_GB2312" w:hAnsi="仿宋_GB2312" w:eastAsia="仿宋_GB2312" w:cs="仿宋_GB2312"/>
          <w:b w:val="0"/>
          <w:bCs w:val="0"/>
          <w:color w:val="auto"/>
          <w:spacing w:val="8"/>
          <w:sz w:val="32"/>
          <w:szCs w:val="32"/>
          <w:lang w:val="en-US" w:eastAsia="zh-CN"/>
        </w:rPr>
        <w:t>1.一等奖助金：课业成绩优良</w:t>
      </w:r>
      <w:r>
        <w:rPr>
          <w:rFonts w:hint="eastAsia" w:ascii="仿宋_GB2312" w:hAnsi="仿宋_GB2312" w:eastAsia="仿宋_GB2312" w:cs="仿宋_GB2312"/>
          <w:b w:val="0"/>
          <w:bCs w:val="0"/>
          <w:color w:val="auto"/>
          <w:spacing w:val="3"/>
          <w:sz w:val="32"/>
          <w:szCs w:val="32"/>
          <w:lang w:eastAsia="zh-CN"/>
        </w:rPr>
        <w:t>，具有较强的专业实践、应用研究能力和较大的职业发展潜力；</w:t>
      </w:r>
    </w:p>
    <w:p w14:paraId="76444EF4">
      <w:pPr>
        <w:pStyle w:val="3"/>
        <w:keepNext w:val="0"/>
        <w:keepLines w:val="0"/>
        <w:pageBreakBefore w:val="0"/>
        <w:wordWrap/>
        <w:overflowPunct/>
        <w:topLinePunct w:val="0"/>
        <w:bidi w:val="0"/>
        <w:adjustRightInd w:val="0"/>
        <w:snapToGrid w:val="0"/>
        <w:spacing w:before="156" w:line="540" w:lineRule="exact"/>
        <w:ind w:left="4" w:right="248" w:firstLine="653"/>
        <w:jc w:val="both"/>
        <w:rPr>
          <w:rFonts w:hint="eastAsia" w:ascii="仿宋_GB2312" w:hAnsi="仿宋_GB2312" w:eastAsia="仿宋_GB2312" w:cs="仿宋_GB2312"/>
          <w:b w:val="0"/>
          <w:bCs w:val="0"/>
          <w:color w:val="auto"/>
          <w:spacing w:val="3"/>
          <w:sz w:val="32"/>
          <w:szCs w:val="32"/>
          <w:lang w:eastAsia="zh-CN"/>
        </w:rPr>
      </w:pPr>
      <w:r>
        <w:rPr>
          <w:rFonts w:hint="eastAsia" w:ascii="仿宋_GB2312" w:hAnsi="仿宋_GB2312" w:eastAsia="仿宋_GB2312" w:cs="仿宋_GB2312"/>
          <w:b w:val="0"/>
          <w:bCs w:val="0"/>
          <w:color w:val="auto"/>
          <w:spacing w:val="8"/>
          <w:sz w:val="32"/>
          <w:szCs w:val="32"/>
          <w:lang w:val="en-US" w:eastAsia="zh-CN"/>
        </w:rPr>
        <w:t>2.二等奖助金：课业成绩优良，</w:t>
      </w:r>
      <w:r>
        <w:rPr>
          <w:rFonts w:hint="eastAsia" w:ascii="仿宋_GB2312" w:hAnsi="仿宋_GB2312" w:eastAsia="仿宋_GB2312" w:cs="仿宋_GB2312"/>
          <w:b w:val="0"/>
          <w:bCs w:val="0"/>
          <w:color w:val="auto"/>
          <w:spacing w:val="3"/>
          <w:sz w:val="32"/>
          <w:szCs w:val="32"/>
          <w:lang w:eastAsia="zh-CN"/>
        </w:rPr>
        <w:t>具有一定的专业实践及应用研究能力和职业发展潜力；</w:t>
      </w:r>
    </w:p>
    <w:p w14:paraId="3595E0A0">
      <w:pPr>
        <w:pStyle w:val="3"/>
        <w:keepNext w:val="0"/>
        <w:keepLines w:val="0"/>
        <w:pageBreakBefore w:val="0"/>
        <w:wordWrap/>
        <w:overflowPunct/>
        <w:topLinePunct w:val="0"/>
        <w:bidi w:val="0"/>
        <w:adjustRightInd w:val="0"/>
        <w:snapToGrid w:val="0"/>
        <w:spacing w:before="156" w:line="540" w:lineRule="exact"/>
        <w:ind w:left="4" w:right="248" w:firstLine="653"/>
        <w:jc w:val="both"/>
        <w:rPr>
          <w:rFonts w:hint="eastAsia" w:ascii="仿宋_GB2312" w:hAnsi="仿宋_GB2312" w:eastAsia="仿宋_GB2312" w:cs="仿宋_GB2312"/>
          <w:b w:val="0"/>
          <w:bCs w:val="0"/>
          <w:color w:val="auto"/>
          <w:spacing w:val="3"/>
          <w:sz w:val="32"/>
          <w:szCs w:val="32"/>
          <w:lang w:eastAsia="zh-CN"/>
        </w:rPr>
      </w:pPr>
      <w:r>
        <w:rPr>
          <w:rFonts w:hint="eastAsia" w:ascii="仿宋_GB2312" w:hAnsi="仿宋_GB2312" w:eastAsia="仿宋_GB2312" w:cs="仿宋_GB2312"/>
          <w:b w:val="0"/>
          <w:bCs w:val="0"/>
          <w:color w:val="auto"/>
          <w:spacing w:val="8"/>
          <w:sz w:val="32"/>
          <w:szCs w:val="32"/>
          <w:lang w:val="en-US" w:eastAsia="zh-CN"/>
        </w:rPr>
        <w:t>3.三等奖助金：</w:t>
      </w:r>
      <w:r>
        <w:rPr>
          <w:rFonts w:hint="eastAsia" w:ascii="仿宋_GB2312" w:hAnsi="仿宋_GB2312" w:eastAsia="仿宋_GB2312" w:cs="仿宋_GB2312"/>
          <w:b w:val="0"/>
          <w:bCs w:val="0"/>
          <w:color w:val="auto"/>
          <w:spacing w:val="3"/>
          <w:sz w:val="32"/>
          <w:szCs w:val="32"/>
          <w:lang w:eastAsia="zh-CN"/>
        </w:rPr>
        <w:t>符合评审资格，且未获得一等、二等奖助金。</w:t>
      </w:r>
    </w:p>
    <w:p w14:paraId="51C5A082">
      <w:pPr>
        <w:pStyle w:val="3"/>
        <w:keepNext w:val="0"/>
        <w:keepLines w:val="0"/>
        <w:pageBreakBefore w:val="0"/>
        <w:wordWrap/>
        <w:overflowPunct/>
        <w:topLinePunct w:val="0"/>
        <w:bidi w:val="0"/>
        <w:adjustRightInd w:val="0"/>
        <w:snapToGrid w:val="0"/>
        <w:spacing w:before="156" w:line="540" w:lineRule="exact"/>
        <w:ind w:left="4" w:right="248" w:firstLine="653"/>
        <w:jc w:val="both"/>
        <w:rPr>
          <w:rFonts w:hint="eastAsia" w:ascii="仿宋_GB2312" w:hAnsi="仿宋_GB2312" w:eastAsia="仿宋_GB2312" w:cs="仿宋_GB2312"/>
          <w:b w:val="0"/>
          <w:bCs w:val="0"/>
          <w:color w:val="auto"/>
          <w:spacing w:val="3"/>
          <w:sz w:val="32"/>
          <w:szCs w:val="32"/>
          <w:lang w:eastAsia="zh-CN"/>
        </w:rPr>
      </w:pPr>
    </w:p>
    <w:p w14:paraId="51D728E0">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outlineLvl w:val="0"/>
        <w:rPr>
          <w:rFonts w:hint="eastAsia" w:ascii="Times New Roman" w:hAnsi="Times New Roman" w:eastAsia="黑体" w:cs="Times New Roman"/>
          <w:bCs/>
          <w:snapToGrid w:val="0"/>
          <w:kern w:val="2"/>
          <w:sz w:val="32"/>
          <w:szCs w:val="44"/>
          <w:lang w:eastAsia="zh-CN"/>
        </w:rPr>
      </w:pPr>
      <w:r>
        <w:rPr>
          <w:rFonts w:hint="eastAsia" w:ascii="Times New Roman" w:hAnsi="Times New Roman" w:eastAsia="黑体" w:cs="Times New Roman"/>
          <w:bCs/>
          <w:snapToGrid w:val="0"/>
          <w:kern w:val="2"/>
          <w:sz w:val="32"/>
          <w:szCs w:val="44"/>
          <w:lang w:eastAsia="zh-CN"/>
        </w:rPr>
        <w:t>第六章   评审办法</w:t>
      </w:r>
    </w:p>
    <w:p w14:paraId="4647EF8B">
      <w:pPr>
        <w:pStyle w:val="3"/>
        <w:keepNext w:val="0"/>
        <w:keepLines w:val="0"/>
        <w:pageBreakBefore w:val="0"/>
        <w:wordWrap/>
        <w:overflowPunct/>
        <w:topLinePunct w:val="0"/>
        <w:bidi w:val="0"/>
        <w:adjustRightInd w:val="0"/>
        <w:snapToGrid w:val="0"/>
        <w:spacing w:before="158" w:line="540" w:lineRule="exact"/>
        <w:ind w:left="4" w:right="248" w:firstLine="653"/>
        <w:jc w:val="both"/>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bCs/>
          <w:snapToGrid/>
          <w:color w:val="auto"/>
          <w:sz w:val="32"/>
          <w:szCs w:val="32"/>
          <w:lang w:val="en-US" w:eastAsia="zh-CN" w:bidi="ar-SA"/>
        </w:rPr>
        <w:t xml:space="preserve">第十三条 </w:t>
      </w:r>
      <w:r>
        <w:rPr>
          <w:rFonts w:hint="eastAsia" w:ascii="仿宋_GB2312" w:hAnsi="仿宋_GB2312" w:eastAsia="仿宋_GB2312" w:cs="仿宋_GB2312"/>
          <w:b w:val="0"/>
          <w:bCs w:val="0"/>
          <w:color w:val="auto"/>
          <w:spacing w:val="3"/>
          <w:sz w:val="32"/>
          <w:szCs w:val="32"/>
          <w:lang w:eastAsia="zh-CN"/>
        </w:rPr>
        <w:t xml:space="preserve"> 对于新入学的研究生，</w:t>
      </w:r>
      <w:r>
        <w:rPr>
          <w:rFonts w:hint="eastAsia" w:ascii="仿宋_GB2312" w:hAnsi="仿宋_GB2312" w:eastAsia="仿宋_GB2312" w:cs="仿宋_GB2312"/>
          <w:b w:val="0"/>
          <w:bCs w:val="0"/>
          <w:color w:val="auto"/>
          <w:spacing w:val="4"/>
          <w:sz w:val="32"/>
          <w:szCs w:val="32"/>
          <w:lang w:eastAsia="zh-CN"/>
        </w:rPr>
        <w:t>博士研究生新生的校长</w:t>
      </w:r>
      <w:r>
        <w:rPr>
          <w:rFonts w:hint="eastAsia" w:ascii="仿宋_GB2312" w:hAnsi="仿宋_GB2312" w:eastAsia="仿宋_GB2312" w:cs="仿宋_GB2312"/>
          <w:b w:val="0"/>
          <w:bCs w:val="0"/>
          <w:color w:val="auto"/>
          <w:spacing w:val="4"/>
          <w:sz w:val="32"/>
          <w:szCs w:val="32"/>
          <w:lang w:val="en-US" w:eastAsia="zh-CN"/>
        </w:rPr>
        <w:t>奖学金</w:t>
      </w:r>
      <w:r>
        <w:rPr>
          <w:rFonts w:hint="eastAsia" w:ascii="仿宋_GB2312" w:hAnsi="仿宋_GB2312" w:eastAsia="仿宋_GB2312" w:cs="仿宋_GB2312"/>
          <w:b w:val="0"/>
          <w:bCs w:val="0"/>
          <w:color w:val="auto"/>
          <w:spacing w:val="4"/>
          <w:sz w:val="32"/>
          <w:szCs w:val="32"/>
          <w:lang w:eastAsia="zh-CN"/>
        </w:rPr>
        <w:t>、一等</w:t>
      </w:r>
      <w:r>
        <w:rPr>
          <w:rFonts w:hint="eastAsia" w:ascii="仿宋_GB2312" w:hAnsi="仿宋_GB2312" w:eastAsia="仿宋_GB2312" w:cs="仿宋_GB2312"/>
          <w:b w:val="0"/>
          <w:bCs w:val="0"/>
          <w:color w:val="auto"/>
          <w:spacing w:val="4"/>
          <w:sz w:val="32"/>
          <w:szCs w:val="32"/>
          <w:lang w:val="en-US" w:eastAsia="zh-CN"/>
        </w:rPr>
        <w:t>助研金</w:t>
      </w:r>
      <w:r>
        <w:rPr>
          <w:rFonts w:hint="eastAsia" w:ascii="仿宋_GB2312" w:hAnsi="仿宋_GB2312" w:eastAsia="仿宋_GB2312" w:cs="仿宋_GB2312"/>
          <w:b w:val="0"/>
          <w:bCs w:val="0"/>
          <w:color w:val="auto"/>
          <w:spacing w:val="4"/>
          <w:sz w:val="32"/>
          <w:szCs w:val="32"/>
          <w:highlight w:val="none"/>
          <w:lang w:val="en-US" w:eastAsia="zh-CN"/>
        </w:rPr>
        <w:t>优先</w:t>
      </w:r>
      <w:r>
        <w:rPr>
          <w:rFonts w:hint="eastAsia" w:ascii="仿宋_GB2312" w:hAnsi="仿宋_GB2312" w:eastAsia="仿宋_GB2312" w:cs="仿宋_GB2312"/>
          <w:b w:val="0"/>
          <w:bCs w:val="0"/>
          <w:color w:val="auto"/>
          <w:spacing w:val="4"/>
          <w:sz w:val="32"/>
          <w:szCs w:val="32"/>
          <w:highlight w:val="none"/>
          <w:lang w:eastAsia="zh-CN"/>
        </w:rPr>
        <w:t>考虑直博生、硕博连读博士研究生；硕士研究生新生的一等</w:t>
      </w:r>
      <w:r>
        <w:rPr>
          <w:rFonts w:hint="eastAsia" w:ascii="仿宋_GB2312" w:hAnsi="仿宋_GB2312" w:eastAsia="仿宋_GB2312" w:cs="仿宋_GB2312"/>
          <w:b w:val="0"/>
          <w:bCs w:val="0"/>
          <w:color w:val="auto"/>
          <w:spacing w:val="4"/>
          <w:sz w:val="32"/>
          <w:szCs w:val="32"/>
          <w:highlight w:val="none"/>
          <w:lang w:val="en-US" w:eastAsia="zh-CN"/>
        </w:rPr>
        <w:t>奖助金</w:t>
      </w:r>
      <w:r>
        <w:rPr>
          <w:rFonts w:hint="eastAsia" w:ascii="仿宋_GB2312" w:hAnsi="仿宋_GB2312" w:eastAsia="仿宋_GB2312" w:cs="仿宋_GB2312"/>
          <w:b w:val="0"/>
          <w:bCs w:val="0"/>
          <w:color w:val="auto"/>
          <w:spacing w:val="4"/>
          <w:sz w:val="32"/>
          <w:szCs w:val="32"/>
          <w:highlight w:val="none"/>
          <w:lang w:eastAsia="zh-CN"/>
        </w:rPr>
        <w:t>、二等奖助金</w:t>
      </w:r>
      <w:r>
        <w:rPr>
          <w:rFonts w:hint="eastAsia" w:ascii="仿宋_GB2312" w:hAnsi="仿宋_GB2312" w:eastAsia="仿宋_GB2312" w:cs="仿宋_GB2312"/>
          <w:b w:val="0"/>
          <w:bCs w:val="0"/>
          <w:color w:val="auto"/>
          <w:spacing w:val="4"/>
          <w:sz w:val="32"/>
          <w:szCs w:val="32"/>
          <w:highlight w:val="none"/>
          <w:lang w:val="en-US" w:eastAsia="zh-CN"/>
        </w:rPr>
        <w:t>优先</w:t>
      </w:r>
      <w:r>
        <w:rPr>
          <w:rFonts w:hint="eastAsia" w:ascii="仿宋_GB2312" w:hAnsi="仿宋_GB2312" w:eastAsia="仿宋_GB2312" w:cs="仿宋_GB2312"/>
          <w:b w:val="0"/>
          <w:bCs w:val="0"/>
          <w:color w:val="auto"/>
          <w:spacing w:val="5"/>
          <w:sz w:val="32"/>
          <w:szCs w:val="32"/>
          <w:highlight w:val="none"/>
          <w:lang w:eastAsia="zh-CN"/>
        </w:rPr>
        <w:t>考虑免</w:t>
      </w:r>
      <w:r>
        <w:rPr>
          <w:rFonts w:hint="eastAsia" w:ascii="仿宋_GB2312" w:hAnsi="仿宋_GB2312" w:eastAsia="仿宋_GB2312" w:cs="仿宋_GB2312"/>
          <w:b w:val="0"/>
          <w:bCs w:val="0"/>
          <w:color w:val="auto"/>
          <w:spacing w:val="5"/>
          <w:sz w:val="32"/>
          <w:szCs w:val="32"/>
          <w:lang w:eastAsia="zh-CN"/>
        </w:rPr>
        <w:t>试攻读硕士学位研究生。</w:t>
      </w:r>
    </w:p>
    <w:p w14:paraId="50BD7CFD">
      <w:pPr>
        <w:pStyle w:val="3"/>
        <w:keepNext w:val="0"/>
        <w:keepLines w:val="0"/>
        <w:pageBreakBefore w:val="0"/>
        <w:wordWrap/>
        <w:overflowPunct/>
        <w:topLinePunct w:val="0"/>
        <w:bidi w:val="0"/>
        <w:adjustRightInd w:val="0"/>
        <w:snapToGrid w:val="0"/>
        <w:spacing w:before="156" w:line="540" w:lineRule="exact"/>
        <w:ind w:left="4" w:right="248" w:firstLine="653"/>
        <w:jc w:val="both"/>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bCs/>
          <w:snapToGrid/>
          <w:color w:val="auto"/>
          <w:sz w:val="32"/>
          <w:szCs w:val="32"/>
          <w:lang w:val="en-US" w:eastAsia="zh-CN" w:bidi="ar-SA"/>
        </w:rPr>
        <w:t>第十四条</w:t>
      </w:r>
      <w:r>
        <w:rPr>
          <w:rFonts w:hint="eastAsia" w:ascii="仿宋_GB2312" w:hAnsi="仿宋_GB2312" w:eastAsia="仿宋_GB2312" w:cs="仿宋_GB2312"/>
          <w:b w:val="0"/>
          <w:bCs w:val="0"/>
          <w:color w:val="auto"/>
          <w:spacing w:val="3"/>
          <w:sz w:val="32"/>
          <w:szCs w:val="32"/>
          <w:lang w:eastAsia="zh-CN"/>
        </w:rPr>
        <w:t xml:space="preserve">  对于二年级及以上的研究生，评定内容包括学生的</w:t>
      </w:r>
      <w:r>
        <w:rPr>
          <w:rFonts w:hint="eastAsia" w:ascii="仿宋_GB2312" w:hAnsi="仿宋_GB2312" w:eastAsia="仿宋_GB2312" w:cs="仿宋_GB2312"/>
          <w:b w:val="0"/>
          <w:bCs w:val="0"/>
          <w:color w:val="auto"/>
          <w:spacing w:val="4"/>
          <w:sz w:val="32"/>
          <w:szCs w:val="32"/>
          <w:lang w:eastAsia="zh-CN"/>
        </w:rPr>
        <w:t>德智体美劳各方面表现。结合学生培养类别、培养层次、各年级参评人数、学校分类分配的名额等因素，按</w:t>
      </w:r>
      <w:r>
        <w:rPr>
          <w:rFonts w:hint="eastAsia" w:ascii="仿宋_GB2312" w:hAnsi="仿宋_GB2312" w:eastAsia="仿宋_GB2312" w:cs="仿宋_GB2312"/>
          <w:b w:val="0"/>
          <w:bCs w:val="0"/>
          <w:color w:val="auto"/>
          <w:spacing w:val="4"/>
          <w:sz w:val="32"/>
          <w:szCs w:val="32"/>
          <w:lang w:val="en-US" w:eastAsia="zh-CN"/>
        </w:rPr>
        <w:t>学生</w:t>
      </w:r>
      <w:r>
        <w:rPr>
          <w:rFonts w:hint="eastAsia" w:ascii="仿宋_GB2312" w:hAnsi="仿宋_GB2312" w:eastAsia="仿宋_GB2312" w:cs="仿宋_GB2312"/>
          <w:b w:val="0"/>
          <w:bCs w:val="0"/>
          <w:color w:val="auto"/>
          <w:spacing w:val="4"/>
          <w:sz w:val="32"/>
          <w:szCs w:val="32"/>
          <w:highlight w:val="none"/>
          <w:lang w:eastAsia="zh-CN"/>
        </w:rPr>
        <w:t>综合测评得</w:t>
      </w:r>
      <w:r>
        <w:rPr>
          <w:rFonts w:hint="eastAsia" w:ascii="仿宋_GB2312" w:hAnsi="仿宋_GB2312" w:eastAsia="仿宋_GB2312" w:cs="仿宋_GB2312"/>
          <w:b w:val="0"/>
          <w:bCs w:val="0"/>
          <w:color w:val="auto"/>
          <w:spacing w:val="4"/>
          <w:sz w:val="32"/>
          <w:szCs w:val="32"/>
          <w:lang w:eastAsia="zh-CN"/>
        </w:rPr>
        <w:t>分的分数高低</w:t>
      </w:r>
      <w:r>
        <w:rPr>
          <w:rFonts w:hint="eastAsia" w:ascii="仿宋_GB2312" w:hAnsi="仿宋_GB2312" w:eastAsia="仿宋_GB2312" w:cs="仿宋_GB2312"/>
          <w:b w:val="0"/>
          <w:bCs w:val="0"/>
          <w:color w:val="auto"/>
          <w:spacing w:val="7"/>
          <w:sz w:val="32"/>
          <w:szCs w:val="32"/>
          <w:lang w:eastAsia="zh-CN"/>
        </w:rPr>
        <w:t>排序来确定推荐的奖助金等级。</w:t>
      </w:r>
    </w:p>
    <w:p w14:paraId="1070D96B">
      <w:pPr>
        <w:pStyle w:val="3"/>
        <w:keepNext w:val="0"/>
        <w:keepLines w:val="0"/>
        <w:pageBreakBefore w:val="0"/>
        <w:wordWrap/>
        <w:overflowPunct/>
        <w:topLinePunct w:val="0"/>
        <w:bidi w:val="0"/>
        <w:adjustRightInd w:val="0"/>
        <w:snapToGrid w:val="0"/>
        <w:spacing w:before="157" w:line="540" w:lineRule="exact"/>
        <w:ind w:left="17" w:right="134" w:firstLine="640"/>
        <w:jc w:val="both"/>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bCs/>
          <w:snapToGrid/>
          <w:color w:val="auto"/>
          <w:sz w:val="32"/>
          <w:szCs w:val="32"/>
          <w:lang w:val="en-US" w:eastAsia="zh-CN" w:bidi="ar-SA"/>
        </w:rPr>
        <w:t>第十五条</w:t>
      </w:r>
      <w:r>
        <w:rPr>
          <w:rFonts w:hint="eastAsia" w:ascii="仿宋_GB2312" w:hAnsi="仿宋_GB2312" w:eastAsia="仿宋_GB2312" w:cs="仿宋_GB2312"/>
          <w:b w:val="0"/>
          <w:bCs w:val="0"/>
          <w:color w:val="auto"/>
          <w:spacing w:val="7"/>
          <w:sz w:val="32"/>
          <w:szCs w:val="32"/>
          <w:lang w:eastAsia="zh-CN"/>
        </w:rPr>
        <w:t xml:space="preserve">  </w:t>
      </w:r>
      <w:r>
        <w:rPr>
          <w:rFonts w:hint="eastAsia" w:ascii="仿宋_GB2312" w:hAnsi="仿宋_GB2312" w:eastAsia="仿宋_GB2312" w:cs="仿宋_GB2312"/>
          <w:b w:val="0"/>
          <w:bCs w:val="0"/>
          <w:color w:val="auto"/>
          <w:spacing w:val="7"/>
          <w:sz w:val="32"/>
          <w:szCs w:val="32"/>
          <w:lang w:val="en-US" w:eastAsia="zh-CN"/>
        </w:rPr>
        <w:t>学生</w:t>
      </w:r>
      <w:r>
        <w:rPr>
          <w:rFonts w:hint="eastAsia" w:ascii="仿宋_GB2312" w:hAnsi="仿宋_GB2312" w:eastAsia="仿宋_GB2312" w:cs="仿宋_GB2312"/>
          <w:b w:val="0"/>
          <w:bCs w:val="0"/>
          <w:color w:val="auto"/>
          <w:spacing w:val="7"/>
          <w:sz w:val="32"/>
          <w:szCs w:val="32"/>
          <w:lang w:eastAsia="zh-CN"/>
        </w:rPr>
        <w:t>综合测评</w:t>
      </w:r>
      <w:r>
        <w:rPr>
          <w:rFonts w:hint="eastAsia" w:ascii="仿宋_GB2312" w:hAnsi="仿宋_GB2312" w:eastAsia="仿宋_GB2312" w:cs="仿宋_GB2312"/>
          <w:b w:val="0"/>
          <w:bCs w:val="0"/>
          <w:color w:val="auto"/>
          <w:spacing w:val="7"/>
          <w:sz w:val="32"/>
          <w:szCs w:val="32"/>
          <w:highlight w:val="none"/>
          <w:lang w:val="en-US" w:eastAsia="zh-CN"/>
        </w:rPr>
        <w:t>成绩</w:t>
      </w:r>
      <w:bookmarkStart w:id="2" w:name="_GoBack"/>
      <w:bookmarkEnd w:id="2"/>
      <w:r>
        <w:rPr>
          <w:rFonts w:hint="eastAsia" w:ascii="仿宋_GB2312" w:hAnsi="仿宋_GB2312" w:eastAsia="仿宋_GB2312" w:cs="仿宋_GB2312"/>
          <w:b w:val="0"/>
          <w:bCs w:val="0"/>
          <w:color w:val="auto"/>
          <w:spacing w:val="7"/>
          <w:sz w:val="32"/>
          <w:szCs w:val="32"/>
          <w:highlight w:val="none"/>
          <w:lang w:eastAsia="zh-CN"/>
        </w:rPr>
        <w:t>由课业成绩、学术创新成果和素质拓展加分三部分构成。</w:t>
      </w:r>
      <w:r>
        <w:rPr>
          <w:rFonts w:hint="eastAsia" w:ascii="仿宋_GB2312" w:hAnsi="仿宋_GB2312" w:eastAsia="仿宋_GB2312" w:cs="仿宋_GB2312"/>
          <w:b w:val="0"/>
          <w:bCs w:val="0"/>
          <w:color w:val="auto"/>
          <w:spacing w:val="7"/>
          <w:sz w:val="32"/>
          <w:szCs w:val="32"/>
          <w:highlight w:val="none"/>
          <w:lang w:val="en-US" w:eastAsia="zh-CN"/>
        </w:rPr>
        <w:t>课</w:t>
      </w:r>
      <w:r>
        <w:rPr>
          <w:rFonts w:hint="eastAsia" w:ascii="仿宋_GB2312" w:hAnsi="仿宋_GB2312" w:eastAsia="仿宋_GB2312" w:cs="仿宋_GB2312"/>
          <w:b w:val="0"/>
          <w:bCs w:val="0"/>
          <w:color w:val="auto"/>
          <w:spacing w:val="7"/>
          <w:sz w:val="32"/>
          <w:szCs w:val="32"/>
          <w:highlight w:val="none"/>
          <w:lang w:eastAsia="zh-CN"/>
        </w:rPr>
        <w:t>业成绩为研究生教育管理服务平台里显示的各科成绩的</w:t>
      </w:r>
      <w:r>
        <w:rPr>
          <w:rFonts w:hint="eastAsia" w:ascii="仿宋_GB2312" w:hAnsi="仿宋_GB2312" w:eastAsia="仿宋_GB2312" w:cs="仿宋_GB2312"/>
          <w:b w:val="0"/>
          <w:bCs w:val="0"/>
          <w:color w:val="auto"/>
          <w:spacing w:val="7"/>
          <w:sz w:val="32"/>
          <w:szCs w:val="32"/>
          <w:highlight w:val="none"/>
          <w:lang w:val="en-US" w:eastAsia="zh-CN"/>
        </w:rPr>
        <w:t>加权</w:t>
      </w:r>
      <w:r>
        <w:rPr>
          <w:rFonts w:hint="eastAsia" w:ascii="仿宋_GB2312" w:hAnsi="仿宋_GB2312" w:eastAsia="仿宋_GB2312" w:cs="仿宋_GB2312"/>
          <w:b w:val="0"/>
          <w:bCs w:val="0"/>
          <w:color w:val="auto"/>
          <w:spacing w:val="7"/>
          <w:sz w:val="32"/>
          <w:szCs w:val="32"/>
          <w:highlight w:val="none"/>
          <w:lang w:eastAsia="zh-CN"/>
        </w:rPr>
        <w:t>平均分。综合测评得分计算办法见附件。</w:t>
      </w:r>
    </w:p>
    <w:p w14:paraId="545199BD">
      <w:pPr>
        <w:pStyle w:val="3"/>
        <w:keepNext w:val="0"/>
        <w:keepLines w:val="0"/>
        <w:pageBreakBefore w:val="0"/>
        <w:wordWrap/>
        <w:overflowPunct/>
        <w:topLinePunct w:val="0"/>
        <w:bidi w:val="0"/>
        <w:adjustRightInd w:val="0"/>
        <w:snapToGrid w:val="0"/>
        <w:spacing w:before="157" w:line="540" w:lineRule="exact"/>
        <w:ind w:left="4" w:right="248" w:firstLine="653"/>
        <w:jc w:val="both"/>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bCs/>
          <w:snapToGrid/>
          <w:color w:val="auto"/>
          <w:sz w:val="32"/>
          <w:szCs w:val="32"/>
          <w:lang w:val="en-US" w:eastAsia="zh-CN" w:bidi="ar-SA"/>
        </w:rPr>
        <w:t>第十六条</w:t>
      </w:r>
      <w:r>
        <w:rPr>
          <w:rFonts w:hint="eastAsia" w:ascii="仿宋_GB2312" w:hAnsi="仿宋_GB2312" w:eastAsia="仿宋_GB2312" w:cs="仿宋_GB2312"/>
          <w:b w:val="0"/>
          <w:bCs w:val="0"/>
          <w:color w:val="auto"/>
          <w:spacing w:val="15"/>
          <w:sz w:val="32"/>
          <w:szCs w:val="32"/>
          <w:highlight w:val="none"/>
          <w:lang w:eastAsia="zh-CN"/>
        </w:rPr>
        <w:t xml:space="preserve">  除</w:t>
      </w:r>
      <w:r>
        <w:rPr>
          <w:rFonts w:hint="eastAsia" w:ascii="仿宋_GB2312" w:hAnsi="仿宋_GB2312" w:eastAsia="仿宋_GB2312" w:cs="仿宋_GB2312"/>
          <w:b w:val="0"/>
          <w:bCs w:val="0"/>
          <w:color w:val="auto"/>
          <w:spacing w:val="15"/>
          <w:sz w:val="32"/>
          <w:szCs w:val="32"/>
          <w:highlight w:val="none"/>
          <w:lang w:val="en-US" w:eastAsia="zh-CN"/>
        </w:rPr>
        <w:t>学院</w:t>
      </w:r>
      <w:r>
        <w:rPr>
          <w:rFonts w:hint="eastAsia" w:ascii="仿宋_GB2312" w:hAnsi="仿宋_GB2312" w:eastAsia="仿宋_GB2312" w:cs="仿宋_GB2312"/>
          <w:b w:val="0"/>
          <w:bCs w:val="0"/>
          <w:color w:val="auto"/>
          <w:spacing w:val="15"/>
          <w:sz w:val="32"/>
          <w:szCs w:val="32"/>
          <w:highlight w:val="none"/>
          <w:lang w:eastAsia="zh-CN"/>
        </w:rPr>
        <w:t>特别通知要求外，二年级研究生提交的综合</w:t>
      </w:r>
      <w:r>
        <w:rPr>
          <w:rFonts w:hint="eastAsia" w:ascii="仿宋_GB2312" w:hAnsi="仿宋_GB2312" w:eastAsia="仿宋_GB2312" w:cs="仿宋_GB2312"/>
          <w:b w:val="0"/>
          <w:bCs w:val="0"/>
          <w:color w:val="auto"/>
          <w:spacing w:val="15"/>
          <w:sz w:val="32"/>
          <w:szCs w:val="32"/>
          <w:highlight w:val="none"/>
          <w:lang w:val="en-US" w:eastAsia="zh-CN"/>
        </w:rPr>
        <w:t>测评</w:t>
      </w:r>
      <w:r>
        <w:rPr>
          <w:rFonts w:hint="eastAsia" w:ascii="仿宋_GB2312" w:hAnsi="仿宋_GB2312" w:eastAsia="仿宋_GB2312" w:cs="仿宋_GB2312"/>
          <w:b w:val="0"/>
          <w:bCs w:val="0"/>
          <w:color w:val="auto"/>
          <w:spacing w:val="15"/>
          <w:sz w:val="32"/>
          <w:szCs w:val="32"/>
          <w:highlight w:val="none"/>
          <w:lang w:eastAsia="zh-CN"/>
        </w:rPr>
        <w:t>相关材料计算有效</w:t>
      </w:r>
      <w:r>
        <w:rPr>
          <w:rFonts w:hint="eastAsia" w:ascii="仿宋_GB2312" w:hAnsi="仿宋_GB2312" w:eastAsia="仿宋_GB2312" w:cs="仿宋_GB2312"/>
          <w:b w:val="0"/>
          <w:bCs w:val="0"/>
          <w:color w:val="auto"/>
          <w:spacing w:val="4"/>
          <w:sz w:val="32"/>
          <w:szCs w:val="32"/>
          <w:highlight w:val="none"/>
          <w:lang w:eastAsia="zh-CN"/>
        </w:rPr>
        <w:t>起止时间是从入学日期到参评当年的8月31日。三年级及以上研</w:t>
      </w:r>
      <w:r>
        <w:rPr>
          <w:rFonts w:hint="eastAsia" w:ascii="仿宋_GB2312" w:hAnsi="仿宋_GB2312" w:eastAsia="仿宋_GB2312" w:cs="仿宋_GB2312"/>
          <w:b w:val="0"/>
          <w:bCs w:val="0"/>
          <w:color w:val="auto"/>
          <w:spacing w:val="15"/>
          <w:sz w:val="32"/>
          <w:szCs w:val="32"/>
          <w:highlight w:val="none"/>
          <w:lang w:eastAsia="zh-CN"/>
        </w:rPr>
        <w:t>究生提交的综合</w:t>
      </w:r>
      <w:r>
        <w:rPr>
          <w:rFonts w:hint="eastAsia" w:ascii="仿宋_GB2312" w:hAnsi="仿宋_GB2312" w:eastAsia="仿宋_GB2312" w:cs="仿宋_GB2312"/>
          <w:b w:val="0"/>
          <w:bCs w:val="0"/>
          <w:color w:val="auto"/>
          <w:spacing w:val="15"/>
          <w:sz w:val="32"/>
          <w:szCs w:val="32"/>
          <w:highlight w:val="none"/>
          <w:lang w:val="en-US" w:eastAsia="zh-CN"/>
        </w:rPr>
        <w:t>测评</w:t>
      </w:r>
      <w:r>
        <w:rPr>
          <w:rFonts w:hint="eastAsia" w:ascii="仿宋_GB2312" w:hAnsi="仿宋_GB2312" w:eastAsia="仿宋_GB2312" w:cs="仿宋_GB2312"/>
          <w:b w:val="0"/>
          <w:bCs w:val="0"/>
          <w:color w:val="auto"/>
          <w:spacing w:val="15"/>
          <w:sz w:val="32"/>
          <w:szCs w:val="32"/>
          <w:highlight w:val="none"/>
          <w:lang w:eastAsia="zh-CN"/>
        </w:rPr>
        <w:t>相关材料计算有效起止时间是从上一次评奖</w:t>
      </w:r>
      <w:r>
        <w:rPr>
          <w:rFonts w:hint="eastAsia" w:ascii="仿宋_GB2312" w:hAnsi="仿宋_GB2312" w:eastAsia="仿宋_GB2312" w:cs="仿宋_GB2312"/>
          <w:b w:val="0"/>
          <w:bCs w:val="0"/>
          <w:color w:val="auto"/>
          <w:sz w:val="32"/>
          <w:szCs w:val="32"/>
          <w:highlight w:val="none"/>
          <w:lang w:eastAsia="zh-CN"/>
        </w:rPr>
        <w:t>材料计算截至日期到参评当年的8月31日。</w:t>
      </w:r>
    </w:p>
    <w:p w14:paraId="5983C685">
      <w:pPr>
        <w:pStyle w:val="3"/>
        <w:keepNext w:val="0"/>
        <w:keepLines w:val="0"/>
        <w:pageBreakBefore w:val="0"/>
        <w:wordWrap/>
        <w:overflowPunct/>
        <w:topLinePunct w:val="0"/>
        <w:bidi w:val="0"/>
        <w:adjustRightInd w:val="0"/>
        <w:snapToGrid w:val="0"/>
        <w:spacing w:before="157" w:line="540" w:lineRule="exact"/>
        <w:ind w:left="17" w:right="134" w:firstLine="640"/>
        <w:jc w:val="both"/>
        <w:rPr>
          <w:rFonts w:hint="eastAsia" w:ascii="仿宋_GB2312" w:hAnsi="仿宋_GB2312" w:eastAsia="仿宋_GB2312" w:cs="仿宋_GB2312"/>
          <w:b w:val="0"/>
          <w:bCs w:val="0"/>
          <w:color w:val="auto"/>
          <w:spacing w:val="15"/>
          <w:sz w:val="32"/>
          <w:szCs w:val="32"/>
          <w:lang w:eastAsia="zh-CN"/>
        </w:rPr>
      </w:pPr>
      <w:r>
        <w:rPr>
          <w:rFonts w:hint="eastAsia" w:ascii="仿宋_GB2312" w:hAnsi="仿宋_GB2312" w:eastAsia="仿宋_GB2312" w:cs="仿宋_GB2312"/>
          <w:b/>
          <w:bCs/>
          <w:snapToGrid/>
          <w:color w:val="auto"/>
          <w:sz w:val="32"/>
          <w:szCs w:val="32"/>
          <w:lang w:val="en-US" w:eastAsia="zh-CN" w:bidi="ar-SA"/>
        </w:rPr>
        <w:t>第十七条</w:t>
      </w:r>
      <w:r>
        <w:rPr>
          <w:rFonts w:hint="eastAsia" w:ascii="仿宋_GB2312" w:hAnsi="仿宋_GB2312" w:eastAsia="仿宋_GB2312" w:cs="仿宋_GB2312"/>
          <w:b w:val="0"/>
          <w:bCs w:val="0"/>
          <w:color w:val="auto"/>
          <w:spacing w:val="7"/>
          <w:sz w:val="32"/>
          <w:szCs w:val="32"/>
          <w:lang w:eastAsia="zh-CN"/>
          <w14:textOutline w14:w="5791" w14:cap="sq">
            <w14:solidFill>
              <w14:srgbClr w14:val="000000"/>
            </w14:solidFill>
            <w14:prstDash w14:val="solid"/>
            <w14:bevel/>
          </w14:textOutline>
        </w:rPr>
        <w:t xml:space="preserve">  </w:t>
      </w:r>
      <w:r>
        <w:rPr>
          <w:rFonts w:hint="eastAsia" w:ascii="仿宋_GB2312" w:hAnsi="仿宋_GB2312" w:eastAsia="仿宋_GB2312" w:cs="仿宋_GB2312"/>
          <w:b w:val="0"/>
          <w:bCs w:val="0"/>
          <w:color w:val="auto"/>
          <w:spacing w:val="15"/>
          <w:sz w:val="32"/>
          <w:szCs w:val="32"/>
          <w:lang w:eastAsia="zh-CN"/>
        </w:rPr>
        <w:t>直接攻读博士学位研究生和确定资格后的硕博连读研究生，因个人原因或未通过中期考核等申请转为硕士研究生者，自学校发文公布之月起停发博士研究生奖助金。该生在后续学习阶段基本修业年限内只能享受硕士研究生三等奖助金。</w:t>
      </w:r>
    </w:p>
    <w:p w14:paraId="2F63B482">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outlineLvl w:val="0"/>
        <w:rPr>
          <w:rFonts w:hint="eastAsia" w:ascii="Times New Roman" w:hAnsi="Times New Roman" w:eastAsia="黑体" w:cs="Times New Roman"/>
          <w:bCs/>
          <w:snapToGrid w:val="0"/>
          <w:kern w:val="2"/>
          <w:sz w:val="32"/>
          <w:szCs w:val="44"/>
          <w:lang w:eastAsia="zh-CN"/>
        </w:rPr>
      </w:pPr>
      <w:r>
        <w:rPr>
          <w:rFonts w:hint="eastAsia" w:ascii="Times New Roman" w:hAnsi="Times New Roman" w:eastAsia="黑体" w:cs="Times New Roman"/>
          <w:bCs/>
          <w:snapToGrid w:val="0"/>
          <w:kern w:val="2"/>
          <w:sz w:val="32"/>
          <w:szCs w:val="44"/>
          <w:lang w:eastAsia="zh-CN"/>
        </w:rPr>
        <w:t>第七章  评</w:t>
      </w:r>
      <w:r>
        <w:rPr>
          <w:rFonts w:hint="eastAsia" w:ascii="Times New Roman" w:hAnsi="Times New Roman" w:eastAsia="黑体" w:cs="Times New Roman"/>
          <w:bCs/>
          <w:snapToGrid w:val="0"/>
          <w:kern w:val="2"/>
          <w:sz w:val="32"/>
          <w:szCs w:val="44"/>
          <w:lang w:val="en-US" w:eastAsia="zh-CN"/>
        </w:rPr>
        <w:t>选</w:t>
      </w:r>
      <w:r>
        <w:rPr>
          <w:rFonts w:hint="eastAsia" w:ascii="Times New Roman" w:hAnsi="Times New Roman" w:eastAsia="黑体" w:cs="Times New Roman"/>
          <w:bCs/>
          <w:snapToGrid w:val="0"/>
          <w:kern w:val="2"/>
          <w:sz w:val="32"/>
          <w:szCs w:val="44"/>
          <w:lang w:eastAsia="zh-CN"/>
        </w:rPr>
        <w:t>程序</w:t>
      </w:r>
    </w:p>
    <w:p w14:paraId="645AD5B3">
      <w:pPr>
        <w:pStyle w:val="3"/>
        <w:keepNext w:val="0"/>
        <w:keepLines w:val="0"/>
        <w:pageBreakBefore w:val="0"/>
        <w:wordWrap/>
        <w:overflowPunct/>
        <w:topLinePunct w:val="0"/>
        <w:bidi w:val="0"/>
        <w:adjustRightInd w:val="0"/>
        <w:snapToGrid w:val="0"/>
        <w:spacing w:before="158" w:line="540" w:lineRule="exact"/>
        <w:ind w:left="655"/>
        <w:jc w:val="both"/>
        <w:rPr>
          <w:rFonts w:hint="eastAsia" w:ascii="仿宋_GB2312" w:hAnsi="仿宋_GB2312" w:eastAsia="仿宋_GB2312" w:cs="仿宋_GB2312"/>
          <w:b w:val="0"/>
          <w:bCs w:val="0"/>
          <w:color w:val="auto"/>
          <w:spacing w:val="4"/>
          <w:sz w:val="32"/>
          <w:szCs w:val="32"/>
          <w:lang w:eastAsia="zh-CN"/>
        </w:rPr>
      </w:pPr>
      <w:r>
        <w:rPr>
          <w:rFonts w:hint="eastAsia" w:ascii="仿宋_GB2312" w:hAnsi="仿宋_GB2312" w:eastAsia="仿宋_GB2312" w:cs="仿宋_GB2312"/>
          <w:b/>
          <w:bCs/>
          <w:snapToGrid/>
          <w:color w:val="auto"/>
          <w:sz w:val="32"/>
          <w:szCs w:val="32"/>
          <w:lang w:val="en-US" w:eastAsia="zh-CN" w:bidi="ar-SA"/>
        </w:rPr>
        <w:t xml:space="preserve">第十八条 </w:t>
      </w:r>
      <w:r>
        <w:rPr>
          <w:rFonts w:hint="eastAsia" w:ascii="仿宋_GB2312" w:hAnsi="仿宋_GB2312" w:eastAsia="仿宋_GB2312" w:cs="仿宋_GB2312"/>
          <w:b w:val="0"/>
          <w:bCs w:val="0"/>
          <w:color w:val="auto"/>
          <w:spacing w:val="26"/>
          <w:sz w:val="32"/>
          <w:szCs w:val="32"/>
          <w:lang w:eastAsia="zh-CN"/>
        </w:rPr>
        <w:t xml:space="preserve"> </w:t>
      </w:r>
      <w:r>
        <w:rPr>
          <w:rFonts w:hint="eastAsia" w:ascii="仿宋_GB2312" w:hAnsi="仿宋_GB2312" w:eastAsia="仿宋_GB2312" w:cs="仿宋_GB2312"/>
          <w:b w:val="0"/>
          <w:bCs w:val="0"/>
          <w:color w:val="auto"/>
          <w:spacing w:val="26"/>
          <w:sz w:val="32"/>
          <w:szCs w:val="32"/>
          <w:lang w:val="en-US" w:eastAsia="zh-CN"/>
        </w:rPr>
        <w:t>研究生奖助金的</w:t>
      </w:r>
      <w:r>
        <w:rPr>
          <w:rFonts w:hint="eastAsia" w:ascii="仿宋_GB2312" w:hAnsi="仿宋_GB2312" w:eastAsia="仿宋_GB2312" w:cs="仿宋_GB2312"/>
          <w:b w:val="0"/>
          <w:bCs w:val="0"/>
          <w:color w:val="auto"/>
          <w:spacing w:val="4"/>
          <w:sz w:val="32"/>
          <w:szCs w:val="32"/>
          <w:lang w:eastAsia="zh-CN"/>
        </w:rPr>
        <w:t>评</w:t>
      </w:r>
      <w:r>
        <w:rPr>
          <w:rFonts w:hint="eastAsia" w:ascii="仿宋_GB2312" w:hAnsi="仿宋_GB2312" w:eastAsia="仿宋_GB2312" w:cs="仿宋_GB2312"/>
          <w:b w:val="0"/>
          <w:bCs w:val="0"/>
          <w:color w:val="auto"/>
          <w:spacing w:val="4"/>
          <w:sz w:val="32"/>
          <w:szCs w:val="32"/>
          <w:lang w:val="en-US" w:eastAsia="zh-CN"/>
        </w:rPr>
        <w:t>选</w:t>
      </w:r>
      <w:r>
        <w:rPr>
          <w:rFonts w:hint="eastAsia" w:ascii="仿宋_GB2312" w:hAnsi="仿宋_GB2312" w:eastAsia="仿宋_GB2312" w:cs="仿宋_GB2312"/>
          <w:b w:val="0"/>
          <w:bCs w:val="0"/>
          <w:color w:val="auto"/>
          <w:spacing w:val="4"/>
          <w:sz w:val="32"/>
          <w:szCs w:val="32"/>
          <w:lang w:eastAsia="zh-CN"/>
        </w:rPr>
        <w:t>程序如下：</w:t>
      </w:r>
    </w:p>
    <w:p w14:paraId="5E6500AF">
      <w:pPr>
        <w:pStyle w:val="3"/>
        <w:keepNext w:val="0"/>
        <w:keepLines w:val="0"/>
        <w:pageBreakBefore w:val="0"/>
        <w:wordWrap/>
        <w:overflowPunct/>
        <w:topLinePunct w:val="0"/>
        <w:bidi w:val="0"/>
        <w:adjustRightInd w:val="0"/>
        <w:snapToGrid w:val="0"/>
        <w:spacing w:before="158" w:line="540" w:lineRule="exact"/>
        <w:ind w:firstLine="656" w:firstLineChars="200"/>
        <w:jc w:val="both"/>
        <w:rPr>
          <w:rFonts w:hint="eastAsia" w:ascii="仿宋_GB2312" w:hAnsi="仿宋_GB2312" w:eastAsia="仿宋_GB2312" w:cs="仿宋_GB2312"/>
          <w:b w:val="0"/>
          <w:bCs w:val="0"/>
          <w:color w:val="auto"/>
          <w:spacing w:val="4"/>
          <w:sz w:val="32"/>
          <w:szCs w:val="32"/>
          <w:lang w:eastAsia="zh-CN"/>
        </w:rPr>
      </w:pPr>
      <w:r>
        <w:rPr>
          <w:rFonts w:hint="eastAsia" w:ascii="仿宋_GB2312" w:hAnsi="仿宋_GB2312" w:eastAsia="仿宋_GB2312" w:cs="仿宋_GB2312"/>
          <w:b w:val="0"/>
          <w:bCs w:val="0"/>
          <w:color w:val="auto"/>
          <w:spacing w:val="4"/>
          <w:sz w:val="32"/>
          <w:szCs w:val="32"/>
          <w:lang w:eastAsia="zh-CN"/>
        </w:rPr>
        <w:t>（</w:t>
      </w:r>
      <w:r>
        <w:rPr>
          <w:rFonts w:hint="eastAsia" w:ascii="仿宋_GB2312" w:hAnsi="仿宋_GB2312" w:eastAsia="仿宋_GB2312" w:cs="仿宋_GB2312"/>
          <w:b w:val="0"/>
          <w:bCs w:val="0"/>
          <w:color w:val="auto"/>
          <w:spacing w:val="4"/>
          <w:sz w:val="32"/>
          <w:szCs w:val="32"/>
          <w:lang w:val="en-US" w:eastAsia="zh-CN"/>
        </w:rPr>
        <w:t>一</w:t>
      </w:r>
      <w:r>
        <w:rPr>
          <w:rFonts w:hint="eastAsia" w:ascii="仿宋_GB2312" w:hAnsi="仿宋_GB2312" w:eastAsia="仿宋_GB2312" w:cs="仿宋_GB2312"/>
          <w:b w:val="0"/>
          <w:bCs w:val="0"/>
          <w:color w:val="auto"/>
          <w:spacing w:val="4"/>
          <w:sz w:val="32"/>
          <w:szCs w:val="32"/>
          <w:lang w:eastAsia="zh-CN"/>
        </w:rPr>
        <w:t>）个人申报:全体参评研究生</w:t>
      </w:r>
      <w:r>
        <w:rPr>
          <w:rFonts w:hint="eastAsia" w:ascii="仿宋_GB2312" w:hAnsi="仿宋_GB2312" w:eastAsia="仿宋_GB2312" w:cs="仿宋_GB2312"/>
          <w:b w:val="0"/>
          <w:bCs w:val="0"/>
          <w:color w:val="auto"/>
          <w:spacing w:val="4"/>
          <w:sz w:val="32"/>
          <w:szCs w:val="32"/>
          <w:lang w:val="en-US" w:eastAsia="zh-CN"/>
        </w:rPr>
        <w:t>根据学院通知在</w:t>
      </w:r>
      <w:r>
        <w:rPr>
          <w:rFonts w:hint="eastAsia" w:ascii="仿宋_GB2312" w:hAnsi="仿宋_GB2312" w:eastAsia="仿宋_GB2312" w:cs="仿宋_GB2312"/>
          <w:b w:val="0"/>
          <w:bCs w:val="0"/>
          <w:color w:val="auto"/>
          <w:spacing w:val="4"/>
          <w:sz w:val="32"/>
          <w:szCs w:val="32"/>
          <w:lang w:eastAsia="zh-CN"/>
        </w:rPr>
        <w:t>规定时间内按要求提交相关材料，个人提交的</w:t>
      </w:r>
      <w:r>
        <w:rPr>
          <w:rFonts w:hint="eastAsia" w:ascii="仿宋_GB2312" w:hAnsi="仿宋_GB2312" w:eastAsia="仿宋_GB2312" w:cs="仿宋_GB2312"/>
          <w:b w:val="0"/>
          <w:bCs w:val="0"/>
          <w:color w:val="auto"/>
          <w:spacing w:val="4"/>
          <w:sz w:val="32"/>
          <w:szCs w:val="32"/>
          <w:lang w:val="en-US" w:eastAsia="zh-CN"/>
        </w:rPr>
        <w:t>材料</w:t>
      </w:r>
      <w:r>
        <w:rPr>
          <w:rFonts w:hint="eastAsia" w:ascii="仿宋_GB2312" w:hAnsi="仿宋_GB2312" w:eastAsia="仿宋_GB2312" w:cs="仿宋_GB2312"/>
          <w:b w:val="0"/>
          <w:bCs w:val="0"/>
          <w:color w:val="auto"/>
          <w:spacing w:val="4"/>
          <w:sz w:val="32"/>
          <w:szCs w:val="32"/>
          <w:lang w:eastAsia="zh-CN"/>
        </w:rPr>
        <w:t>需经研究生导师审核</w:t>
      </w:r>
      <w:r>
        <w:rPr>
          <w:rFonts w:hint="eastAsia" w:ascii="仿宋_GB2312" w:hAnsi="仿宋_GB2312" w:eastAsia="仿宋_GB2312" w:cs="仿宋_GB2312"/>
          <w:b w:val="0"/>
          <w:bCs w:val="0"/>
          <w:color w:val="auto"/>
          <w:spacing w:val="4"/>
          <w:sz w:val="32"/>
          <w:szCs w:val="32"/>
          <w:lang w:val="en-US" w:eastAsia="zh-CN"/>
        </w:rPr>
        <w:t>推荐</w:t>
      </w:r>
      <w:r>
        <w:rPr>
          <w:rFonts w:hint="eastAsia" w:ascii="仿宋_GB2312" w:hAnsi="仿宋_GB2312" w:eastAsia="仿宋_GB2312" w:cs="仿宋_GB2312"/>
          <w:b w:val="0"/>
          <w:bCs w:val="0"/>
          <w:color w:val="auto"/>
          <w:spacing w:val="4"/>
          <w:sz w:val="32"/>
          <w:szCs w:val="32"/>
          <w:lang w:eastAsia="zh-CN"/>
        </w:rPr>
        <w:t>，</w:t>
      </w:r>
      <w:r>
        <w:rPr>
          <w:rFonts w:hint="eastAsia" w:ascii="仿宋_GB2312" w:hAnsi="仿宋_GB2312" w:eastAsia="仿宋_GB2312" w:cs="仿宋_GB2312"/>
          <w:b w:val="0"/>
          <w:bCs w:val="0"/>
          <w:color w:val="auto"/>
          <w:spacing w:val="4"/>
          <w:sz w:val="32"/>
          <w:szCs w:val="32"/>
          <w:lang w:val="en-US" w:eastAsia="zh-CN"/>
        </w:rPr>
        <w:t>相关成果</w:t>
      </w:r>
      <w:r>
        <w:rPr>
          <w:rFonts w:hint="eastAsia" w:ascii="仿宋_GB2312" w:hAnsi="仿宋_GB2312" w:eastAsia="仿宋_GB2312" w:cs="仿宋_GB2312"/>
          <w:b w:val="0"/>
          <w:bCs w:val="0"/>
          <w:color w:val="auto"/>
          <w:spacing w:val="4"/>
          <w:sz w:val="32"/>
          <w:szCs w:val="32"/>
          <w:lang w:eastAsia="zh-CN"/>
        </w:rPr>
        <w:t>符合学术规范。</w:t>
      </w:r>
    </w:p>
    <w:p w14:paraId="63D825EB">
      <w:pPr>
        <w:pStyle w:val="3"/>
        <w:keepNext w:val="0"/>
        <w:keepLines w:val="0"/>
        <w:pageBreakBefore w:val="0"/>
        <w:wordWrap/>
        <w:overflowPunct/>
        <w:topLinePunct w:val="0"/>
        <w:bidi w:val="0"/>
        <w:adjustRightInd w:val="0"/>
        <w:snapToGrid w:val="0"/>
        <w:spacing w:before="155" w:line="540" w:lineRule="exact"/>
        <w:ind w:right="14" w:firstLine="646"/>
        <w:jc w:val="both"/>
        <w:rPr>
          <w:rFonts w:hint="eastAsia" w:ascii="仿宋_GB2312" w:hAnsi="仿宋_GB2312" w:eastAsia="仿宋_GB2312" w:cs="仿宋_GB2312"/>
          <w:b w:val="0"/>
          <w:bCs w:val="0"/>
          <w:color w:val="auto"/>
          <w:spacing w:val="4"/>
          <w:sz w:val="32"/>
          <w:szCs w:val="32"/>
          <w:lang w:eastAsia="zh-CN"/>
        </w:rPr>
      </w:pPr>
      <w:r>
        <w:rPr>
          <w:rFonts w:hint="eastAsia" w:ascii="仿宋_GB2312" w:hAnsi="仿宋_GB2312" w:eastAsia="仿宋_GB2312" w:cs="仿宋_GB2312"/>
          <w:b w:val="0"/>
          <w:bCs w:val="0"/>
          <w:color w:val="auto"/>
          <w:spacing w:val="4"/>
          <w:sz w:val="32"/>
          <w:szCs w:val="32"/>
          <w:lang w:eastAsia="zh-CN"/>
        </w:rPr>
        <w:t>（</w:t>
      </w:r>
      <w:r>
        <w:rPr>
          <w:rFonts w:hint="eastAsia" w:ascii="仿宋_GB2312" w:hAnsi="仿宋_GB2312" w:eastAsia="仿宋_GB2312" w:cs="仿宋_GB2312"/>
          <w:b w:val="0"/>
          <w:bCs w:val="0"/>
          <w:color w:val="auto"/>
          <w:spacing w:val="4"/>
          <w:sz w:val="32"/>
          <w:szCs w:val="32"/>
          <w:lang w:val="en-US" w:eastAsia="zh-CN"/>
        </w:rPr>
        <w:t>二</w:t>
      </w:r>
      <w:r>
        <w:rPr>
          <w:rFonts w:hint="eastAsia" w:ascii="仿宋_GB2312" w:hAnsi="仿宋_GB2312" w:eastAsia="仿宋_GB2312" w:cs="仿宋_GB2312"/>
          <w:b w:val="0"/>
          <w:bCs w:val="0"/>
          <w:color w:val="auto"/>
          <w:spacing w:val="4"/>
          <w:sz w:val="32"/>
          <w:szCs w:val="32"/>
          <w:lang w:eastAsia="zh-CN"/>
        </w:rPr>
        <w:t>）班级评审:由班主任组织班长、团支书及2-3名学生代表组成班级评审小组，班长任组长。</w:t>
      </w:r>
    </w:p>
    <w:p w14:paraId="76339B3C">
      <w:pPr>
        <w:pStyle w:val="3"/>
        <w:keepNext w:val="0"/>
        <w:keepLines w:val="0"/>
        <w:pageBreakBefore w:val="0"/>
        <w:wordWrap/>
        <w:overflowPunct/>
        <w:topLinePunct w:val="0"/>
        <w:bidi w:val="0"/>
        <w:adjustRightInd w:val="0"/>
        <w:snapToGrid w:val="0"/>
        <w:spacing w:before="155" w:line="540" w:lineRule="exact"/>
        <w:ind w:right="14" w:firstLine="646"/>
        <w:jc w:val="both"/>
        <w:rPr>
          <w:rFonts w:hint="eastAsia" w:ascii="仿宋_GB2312" w:hAnsi="仿宋_GB2312" w:eastAsia="仿宋_GB2312" w:cs="仿宋_GB2312"/>
          <w:b w:val="0"/>
          <w:bCs w:val="0"/>
          <w:color w:val="auto"/>
          <w:spacing w:val="4"/>
          <w:sz w:val="32"/>
          <w:szCs w:val="32"/>
          <w:lang w:eastAsia="zh-CN"/>
        </w:rPr>
      </w:pPr>
      <w:r>
        <w:rPr>
          <w:rFonts w:hint="eastAsia" w:ascii="仿宋_GB2312" w:hAnsi="仿宋_GB2312" w:eastAsia="仿宋_GB2312" w:cs="仿宋_GB2312"/>
          <w:b w:val="0"/>
          <w:bCs w:val="0"/>
          <w:color w:val="auto"/>
          <w:spacing w:val="4"/>
          <w:sz w:val="32"/>
          <w:szCs w:val="32"/>
          <w:lang w:eastAsia="zh-CN"/>
        </w:rPr>
        <w:t>班级评审小组需在规定时间内收集齐本班同学的课业成绩、学术创新成果和素质拓展</w:t>
      </w:r>
      <w:r>
        <w:rPr>
          <w:rFonts w:hint="eastAsia" w:ascii="仿宋_GB2312" w:hAnsi="仿宋_GB2312" w:eastAsia="仿宋_GB2312" w:cs="仿宋_GB2312"/>
          <w:b w:val="0"/>
          <w:bCs w:val="0"/>
          <w:color w:val="auto"/>
          <w:spacing w:val="4"/>
          <w:sz w:val="32"/>
          <w:szCs w:val="32"/>
          <w:lang w:val="en-US" w:eastAsia="zh-CN"/>
        </w:rPr>
        <w:t>等方面的</w:t>
      </w:r>
      <w:r>
        <w:rPr>
          <w:rFonts w:hint="eastAsia" w:ascii="仿宋_GB2312" w:hAnsi="仿宋_GB2312" w:eastAsia="仿宋_GB2312" w:cs="仿宋_GB2312"/>
          <w:b w:val="0"/>
          <w:bCs w:val="0"/>
          <w:color w:val="auto"/>
          <w:spacing w:val="4"/>
          <w:sz w:val="32"/>
          <w:szCs w:val="32"/>
          <w:lang w:eastAsia="zh-CN"/>
        </w:rPr>
        <w:t>加分申请及相关</w:t>
      </w:r>
      <w:r>
        <w:rPr>
          <w:rFonts w:hint="eastAsia" w:ascii="仿宋_GB2312" w:hAnsi="仿宋_GB2312" w:eastAsia="仿宋_GB2312" w:cs="仿宋_GB2312"/>
          <w:b w:val="0"/>
          <w:bCs w:val="0"/>
          <w:color w:val="auto"/>
          <w:spacing w:val="4"/>
          <w:sz w:val="32"/>
          <w:szCs w:val="32"/>
          <w:lang w:val="en-US" w:eastAsia="zh-CN"/>
        </w:rPr>
        <w:t>证明</w:t>
      </w:r>
      <w:r>
        <w:rPr>
          <w:rFonts w:hint="eastAsia" w:ascii="仿宋_GB2312" w:hAnsi="仿宋_GB2312" w:eastAsia="仿宋_GB2312" w:cs="仿宋_GB2312"/>
          <w:b w:val="0"/>
          <w:bCs w:val="0"/>
          <w:color w:val="auto"/>
          <w:spacing w:val="4"/>
          <w:sz w:val="32"/>
          <w:szCs w:val="32"/>
          <w:lang w:eastAsia="zh-CN"/>
        </w:rPr>
        <w:t>材料(证书、论文等电子版及复印件)，做好材料审查</w:t>
      </w:r>
      <w:r>
        <w:rPr>
          <w:rFonts w:hint="eastAsia" w:ascii="仿宋_GB2312" w:hAnsi="仿宋_GB2312" w:eastAsia="仿宋_GB2312" w:cs="仿宋_GB2312"/>
          <w:b w:val="0"/>
          <w:bCs w:val="0"/>
          <w:color w:val="auto"/>
          <w:spacing w:val="4"/>
          <w:sz w:val="32"/>
          <w:szCs w:val="32"/>
          <w:lang w:val="en-US" w:eastAsia="zh-CN"/>
        </w:rPr>
        <w:t>和汇总工作，</w:t>
      </w:r>
      <w:r>
        <w:rPr>
          <w:rFonts w:hint="eastAsia" w:ascii="仿宋_GB2312" w:hAnsi="仿宋_GB2312" w:eastAsia="仿宋_GB2312" w:cs="仿宋_GB2312"/>
          <w:b w:val="0"/>
          <w:bCs w:val="0"/>
          <w:color w:val="auto"/>
          <w:spacing w:val="4"/>
          <w:sz w:val="32"/>
          <w:szCs w:val="32"/>
          <w:lang w:eastAsia="zh-CN"/>
        </w:rPr>
        <w:t>完成</w:t>
      </w:r>
      <w:r>
        <w:rPr>
          <w:rFonts w:hint="eastAsia" w:ascii="仿宋_GB2312" w:hAnsi="仿宋_GB2312" w:eastAsia="仿宋_GB2312" w:cs="仿宋_GB2312"/>
          <w:b w:val="0"/>
          <w:bCs w:val="0"/>
          <w:color w:val="auto"/>
          <w:spacing w:val="4"/>
          <w:sz w:val="32"/>
          <w:szCs w:val="32"/>
          <w:lang w:val="en-US" w:eastAsia="zh-CN"/>
        </w:rPr>
        <w:t>班级内</w:t>
      </w:r>
      <w:r>
        <w:rPr>
          <w:rFonts w:hint="eastAsia" w:ascii="仿宋_GB2312" w:hAnsi="仿宋_GB2312" w:eastAsia="仿宋_GB2312" w:cs="仿宋_GB2312"/>
          <w:b w:val="0"/>
          <w:bCs w:val="0"/>
          <w:color w:val="auto"/>
          <w:spacing w:val="4"/>
          <w:sz w:val="32"/>
          <w:szCs w:val="32"/>
          <w:lang w:eastAsia="zh-CN"/>
        </w:rPr>
        <w:t>公示(公示时长不少于</w:t>
      </w:r>
      <w:r>
        <w:rPr>
          <w:rFonts w:hint="eastAsia" w:ascii="仿宋_GB2312" w:hAnsi="仿宋_GB2312" w:eastAsia="仿宋_GB2312" w:cs="仿宋_GB2312"/>
          <w:b w:val="0"/>
          <w:bCs w:val="0"/>
          <w:color w:val="auto"/>
          <w:spacing w:val="4"/>
          <w:sz w:val="32"/>
          <w:szCs w:val="32"/>
          <w:lang w:val="en-US" w:eastAsia="zh-CN"/>
        </w:rPr>
        <w:t>2</w:t>
      </w:r>
      <w:r>
        <w:rPr>
          <w:rFonts w:hint="eastAsia" w:ascii="仿宋_GB2312" w:hAnsi="仿宋_GB2312" w:eastAsia="仿宋_GB2312" w:cs="仿宋_GB2312"/>
          <w:b w:val="0"/>
          <w:bCs w:val="0"/>
          <w:color w:val="auto"/>
          <w:spacing w:val="4"/>
          <w:sz w:val="32"/>
          <w:szCs w:val="32"/>
          <w:lang w:eastAsia="zh-CN"/>
        </w:rPr>
        <w:t>天)。如公示期内有异议且被采纳的，结果进行相应更正并重新公示。公示无异议后将材料提交年级评审小组。在申请材料截止时间后，除评审小组要求外，一概不再接受同学补交任何材料。</w:t>
      </w:r>
    </w:p>
    <w:p w14:paraId="34D73818">
      <w:pPr>
        <w:pStyle w:val="3"/>
        <w:keepNext w:val="0"/>
        <w:keepLines w:val="0"/>
        <w:pageBreakBefore w:val="0"/>
        <w:numPr>
          <w:ilvl w:val="12"/>
          <w:numId w:val="0"/>
        </w:numPr>
        <w:wordWrap/>
        <w:overflowPunct/>
        <w:topLinePunct w:val="0"/>
        <w:bidi w:val="0"/>
        <w:adjustRightInd w:val="0"/>
        <w:snapToGrid w:val="0"/>
        <w:spacing w:before="155" w:line="540" w:lineRule="exact"/>
        <w:ind w:right="14" w:firstLine="656" w:firstLineChars="200"/>
        <w:jc w:val="both"/>
        <w:rPr>
          <w:rFonts w:hint="eastAsia" w:ascii="仿宋_GB2312" w:hAnsi="仿宋_GB2312" w:eastAsia="仿宋_GB2312" w:cs="仿宋_GB2312"/>
          <w:b w:val="0"/>
          <w:bCs w:val="0"/>
          <w:color w:val="auto"/>
          <w:spacing w:val="4"/>
          <w:sz w:val="32"/>
          <w:szCs w:val="32"/>
          <w:highlight w:val="none"/>
          <w:lang w:eastAsia="zh-CN"/>
        </w:rPr>
      </w:pPr>
      <w:r>
        <w:rPr>
          <w:rFonts w:hint="eastAsia" w:ascii="仿宋_GB2312" w:hAnsi="仿宋_GB2312" w:eastAsia="仿宋_GB2312" w:cs="仿宋_GB2312"/>
          <w:b w:val="0"/>
          <w:bCs w:val="0"/>
          <w:color w:val="auto"/>
          <w:spacing w:val="4"/>
          <w:sz w:val="32"/>
          <w:szCs w:val="32"/>
          <w:lang w:eastAsia="zh-CN"/>
        </w:rPr>
        <w:t>（</w:t>
      </w:r>
      <w:r>
        <w:rPr>
          <w:rFonts w:hint="eastAsia" w:ascii="仿宋_GB2312" w:hAnsi="仿宋_GB2312" w:eastAsia="仿宋_GB2312" w:cs="仿宋_GB2312"/>
          <w:b w:val="0"/>
          <w:bCs w:val="0"/>
          <w:color w:val="auto"/>
          <w:spacing w:val="4"/>
          <w:sz w:val="32"/>
          <w:szCs w:val="32"/>
          <w:lang w:val="en-US" w:eastAsia="zh-CN"/>
        </w:rPr>
        <w:t>三</w:t>
      </w:r>
      <w:r>
        <w:rPr>
          <w:rFonts w:hint="eastAsia" w:ascii="仿宋_GB2312" w:hAnsi="仿宋_GB2312" w:eastAsia="仿宋_GB2312" w:cs="仿宋_GB2312"/>
          <w:b w:val="0"/>
          <w:bCs w:val="0"/>
          <w:color w:val="auto"/>
          <w:spacing w:val="4"/>
          <w:sz w:val="32"/>
          <w:szCs w:val="32"/>
          <w:lang w:eastAsia="zh-CN"/>
        </w:rPr>
        <w:t>）年级评审:各年级成立年级评审小组，年级评审小组由该年级辅导员、班主任、兼职辅导员、研究生会代表、各班班长及各班1名学生代表等组成。年级评审小组对各班提交的</w:t>
      </w:r>
      <w:r>
        <w:rPr>
          <w:rFonts w:hint="eastAsia" w:ascii="仿宋_GB2312" w:hAnsi="仿宋_GB2312" w:eastAsia="仿宋_GB2312" w:cs="仿宋_GB2312"/>
          <w:b w:val="0"/>
          <w:bCs w:val="0"/>
          <w:color w:val="auto"/>
          <w:spacing w:val="4"/>
          <w:sz w:val="32"/>
          <w:szCs w:val="32"/>
          <w:lang w:val="en-US" w:eastAsia="zh-CN"/>
        </w:rPr>
        <w:t>汇总结果</w:t>
      </w:r>
      <w:r>
        <w:rPr>
          <w:rFonts w:hint="eastAsia" w:ascii="仿宋_GB2312" w:hAnsi="仿宋_GB2312" w:eastAsia="仿宋_GB2312" w:cs="仿宋_GB2312"/>
          <w:b w:val="0"/>
          <w:bCs w:val="0"/>
          <w:color w:val="auto"/>
          <w:spacing w:val="4"/>
          <w:sz w:val="32"/>
          <w:szCs w:val="32"/>
          <w:lang w:eastAsia="zh-CN"/>
        </w:rPr>
        <w:t>及参评人所提交的申请材料进行审核，并将审核结果在年级内公示2天。如公示期内有异议且被采纳的，结果进行相应更正并重新公示。公示无异议后</w:t>
      </w:r>
      <w:r>
        <w:rPr>
          <w:rFonts w:hint="eastAsia" w:ascii="仿宋_GB2312" w:hAnsi="仿宋_GB2312" w:eastAsia="仿宋_GB2312" w:cs="仿宋_GB2312"/>
          <w:b w:val="0"/>
          <w:bCs w:val="0"/>
          <w:color w:val="auto"/>
          <w:spacing w:val="4"/>
          <w:sz w:val="32"/>
          <w:szCs w:val="32"/>
          <w:highlight w:val="none"/>
          <w:lang w:eastAsia="zh-CN"/>
        </w:rPr>
        <w:t>报学院研究生奖助学金评审</w:t>
      </w:r>
      <w:r>
        <w:rPr>
          <w:rFonts w:hint="eastAsia" w:ascii="仿宋_GB2312" w:hAnsi="仿宋_GB2312" w:eastAsia="仿宋_GB2312" w:cs="仿宋_GB2312"/>
          <w:b w:val="0"/>
          <w:bCs w:val="0"/>
          <w:color w:val="auto"/>
          <w:spacing w:val="4"/>
          <w:sz w:val="32"/>
          <w:szCs w:val="32"/>
          <w:highlight w:val="none"/>
          <w:lang w:val="en-US" w:eastAsia="zh-CN"/>
        </w:rPr>
        <w:t>工作小组</w:t>
      </w:r>
      <w:r>
        <w:rPr>
          <w:rFonts w:hint="eastAsia" w:ascii="仿宋_GB2312" w:hAnsi="仿宋_GB2312" w:eastAsia="仿宋_GB2312" w:cs="仿宋_GB2312"/>
          <w:b w:val="0"/>
          <w:bCs w:val="0"/>
          <w:color w:val="auto"/>
          <w:spacing w:val="4"/>
          <w:sz w:val="32"/>
          <w:szCs w:val="32"/>
          <w:highlight w:val="none"/>
          <w:lang w:eastAsia="zh-CN"/>
        </w:rPr>
        <w:t>。</w:t>
      </w:r>
    </w:p>
    <w:p w14:paraId="3F8FCEC1">
      <w:pPr>
        <w:pStyle w:val="3"/>
        <w:keepNext w:val="0"/>
        <w:keepLines w:val="0"/>
        <w:pageBreakBefore w:val="0"/>
        <w:numPr>
          <w:ilvl w:val="12"/>
          <w:numId w:val="0"/>
        </w:numPr>
        <w:wordWrap/>
        <w:overflowPunct/>
        <w:topLinePunct w:val="0"/>
        <w:bidi w:val="0"/>
        <w:adjustRightInd w:val="0"/>
        <w:snapToGrid w:val="0"/>
        <w:spacing w:before="155" w:line="540" w:lineRule="exact"/>
        <w:ind w:right="14" w:firstLine="640" w:firstLineChars="200"/>
        <w:jc w:val="both"/>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四</w:t>
      </w:r>
      <w:r>
        <w:rPr>
          <w:rFonts w:hint="eastAsia" w:ascii="仿宋_GB2312" w:hAnsi="仿宋_GB2312" w:eastAsia="仿宋_GB2312" w:cs="仿宋_GB2312"/>
          <w:b w:val="0"/>
          <w:bCs w:val="0"/>
          <w:color w:val="auto"/>
          <w:sz w:val="32"/>
          <w:szCs w:val="32"/>
          <w:lang w:eastAsia="zh-CN"/>
        </w:rPr>
        <w:t>）学院评定:</w:t>
      </w:r>
      <w:r>
        <w:rPr>
          <w:rFonts w:hint="eastAsia" w:ascii="仿宋_GB2312" w:hAnsi="仿宋_GB2312" w:eastAsia="仿宋_GB2312" w:cs="仿宋_GB2312"/>
          <w:b w:val="0"/>
          <w:bCs w:val="0"/>
          <w:color w:val="auto"/>
          <w:sz w:val="32"/>
          <w:szCs w:val="32"/>
          <w:highlight w:val="none"/>
          <w:lang w:eastAsia="zh-CN"/>
        </w:rPr>
        <w:t>学院研究生奖助学金评审工作小组根</w:t>
      </w:r>
      <w:r>
        <w:rPr>
          <w:rFonts w:hint="eastAsia" w:ascii="仿宋_GB2312" w:hAnsi="仿宋_GB2312" w:eastAsia="仿宋_GB2312" w:cs="仿宋_GB2312"/>
          <w:b w:val="0"/>
          <w:bCs w:val="0"/>
          <w:color w:val="auto"/>
          <w:sz w:val="32"/>
          <w:szCs w:val="32"/>
          <w:lang w:eastAsia="zh-CN"/>
        </w:rPr>
        <w:t>据学校奖助金奖项设置、名额分配、工作要求等，拟定奖项和名额分配方案，进行初审和向学院学院研究生奖助学金评审委员会提交评审建议。</w:t>
      </w:r>
    </w:p>
    <w:p w14:paraId="4EFE35A3">
      <w:pPr>
        <w:pStyle w:val="3"/>
        <w:keepNext w:val="0"/>
        <w:keepLines w:val="0"/>
        <w:pageBreakBefore w:val="0"/>
        <w:numPr>
          <w:ilvl w:val="12"/>
          <w:numId w:val="0"/>
        </w:numPr>
        <w:wordWrap/>
        <w:overflowPunct/>
        <w:topLinePunct w:val="0"/>
        <w:bidi w:val="0"/>
        <w:adjustRightInd w:val="0"/>
        <w:snapToGrid w:val="0"/>
        <w:spacing w:before="155" w:line="540" w:lineRule="exact"/>
        <w:ind w:right="14"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eastAsia="zh-CN"/>
        </w:rPr>
        <w:t>学院研究生奖助学金评审委员会对评审工作小组提交的初审</w:t>
      </w:r>
      <w:r>
        <w:rPr>
          <w:rFonts w:hint="eastAsia" w:ascii="仿宋_GB2312" w:hAnsi="仿宋_GB2312" w:eastAsia="仿宋_GB2312" w:cs="仿宋_GB2312"/>
          <w:b w:val="0"/>
          <w:bCs w:val="0"/>
          <w:color w:val="auto"/>
          <w:sz w:val="32"/>
          <w:szCs w:val="32"/>
          <w:lang w:val="en-US" w:eastAsia="zh-CN"/>
        </w:rPr>
        <w:t>建议</w:t>
      </w:r>
      <w:r>
        <w:rPr>
          <w:rFonts w:hint="eastAsia" w:ascii="仿宋_GB2312" w:hAnsi="仿宋_GB2312" w:eastAsia="仿宋_GB2312" w:cs="仿宋_GB2312"/>
          <w:b w:val="0"/>
          <w:bCs w:val="0"/>
          <w:color w:val="auto"/>
          <w:sz w:val="32"/>
          <w:szCs w:val="32"/>
          <w:lang w:eastAsia="zh-CN"/>
        </w:rPr>
        <w:t>进行审议。</w:t>
      </w:r>
    </w:p>
    <w:p w14:paraId="0AFB9A62">
      <w:pPr>
        <w:pStyle w:val="3"/>
        <w:keepNext w:val="0"/>
        <w:keepLines w:val="0"/>
        <w:pageBreakBefore w:val="0"/>
        <w:numPr>
          <w:ilvl w:val="12"/>
          <w:numId w:val="0"/>
        </w:numPr>
        <w:wordWrap/>
        <w:overflowPunct/>
        <w:topLinePunct w:val="0"/>
        <w:bidi w:val="0"/>
        <w:adjustRightInd w:val="0"/>
        <w:snapToGrid w:val="0"/>
        <w:spacing w:before="155" w:line="540" w:lineRule="exact"/>
        <w:ind w:right="14" w:firstLine="640" w:firstLineChars="200"/>
        <w:jc w:val="both"/>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学院对审议结果予以公示，公示期</w:t>
      </w:r>
      <w:r>
        <w:rPr>
          <w:rFonts w:hint="eastAsia" w:ascii="仿宋_GB2312" w:hAnsi="仿宋_GB2312" w:eastAsia="仿宋_GB2312" w:cs="仿宋_GB2312"/>
          <w:b w:val="0"/>
          <w:bCs w:val="0"/>
          <w:color w:val="auto"/>
          <w:sz w:val="32"/>
          <w:szCs w:val="32"/>
          <w:lang w:val="en-US" w:eastAsia="zh-CN"/>
        </w:rPr>
        <w:t>不少于</w:t>
      </w:r>
      <w:r>
        <w:rPr>
          <w:rFonts w:hint="eastAsia" w:ascii="仿宋_GB2312" w:hAnsi="仿宋_GB2312" w:eastAsia="仿宋_GB2312" w:cs="仿宋_GB2312"/>
          <w:b w:val="0"/>
          <w:bCs w:val="0"/>
          <w:color w:val="auto"/>
          <w:sz w:val="32"/>
          <w:szCs w:val="32"/>
          <w:lang w:eastAsia="zh-CN"/>
        </w:rPr>
        <w:t>3个工作日。公示期有异议且被采纳的将在结果调整后重新公示。公示期结束无异议或异议不被采纳的，经由评审委员会确认奖助金推荐名单后，</w:t>
      </w:r>
      <w:r>
        <w:rPr>
          <w:rFonts w:hint="eastAsia" w:ascii="仿宋_GB2312" w:hAnsi="仿宋_GB2312" w:eastAsia="仿宋_GB2312" w:cs="仿宋_GB2312"/>
          <w:b w:val="0"/>
          <w:bCs w:val="0"/>
          <w:color w:val="auto"/>
          <w:sz w:val="32"/>
          <w:szCs w:val="32"/>
          <w:lang w:val="en-US" w:eastAsia="zh-CN"/>
        </w:rPr>
        <w:t>报学院党政联席会议审议同意后提交</w:t>
      </w:r>
      <w:r>
        <w:rPr>
          <w:rFonts w:hint="eastAsia" w:ascii="仿宋_GB2312" w:hAnsi="仿宋_GB2312" w:eastAsia="仿宋_GB2312" w:cs="仿宋_GB2312"/>
          <w:b w:val="0"/>
          <w:bCs w:val="0"/>
          <w:color w:val="auto"/>
          <w:sz w:val="32"/>
          <w:szCs w:val="32"/>
          <w:lang w:eastAsia="zh-CN"/>
        </w:rPr>
        <w:t>学校。</w:t>
      </w:r>
    </w:p>
    <w:p w14:paraId="715E5407">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outlineLvl w:val="0"/>
        <w:rPr>
          <w:rFonts w:hint="eastAsia" w:ascii="Times New Roman" w:hAnsi="Times New Roman" w:eastAsia="黑体" w:cs="Times New Roman"/>
          <w:bCs/>
          <w:snapToGrid w:val="0"/>
          <w:kern w:val="2"/>
          <w:sz w:val="32"/>
          <w:szCs w:val="44"/>
          <w:lang w:eastAsia="zh-CN"/>
        </w:rPr>
      </w:pPr>
      <w:r>
        <w:rPr>
          <w:rFonts w:hint="eastAsia" w:ascii="Times New Roman" w:hAnsi="Times New Roman" w:eastAsia="黑体" w:cs="Times New Roman"/>
          <w:bCs/>
          <w:snapToGrid w:val="0"/>
          <w:kern w:val="2"/>
          <w:sz w:val="32"/>
          <w:szCs w:val="44"/>
          <w:lang w:eastAsia="zh-CN"/>
        </w:rPr>
        <w:t>第八章 综合测评工作复议</w:t>
      </w:r>
    </w:p>
    <w:p w14:paraId="4ACA73BF">
      <w:pPr>
        <w:pStyle w:val="3"/>
        <w:keepNext w:val="0"/>
        <w:keepLines w:val="0"/>
        <w:pageBreakBefore w:val="0"/>
        <w:numPr>
          <w:ilvl w:val="12"/>
          <w:numId w:val="0"/>
        </w:numPr>
        <w:wordWrap/>
        <w:overflowPunct/>
        <w:topLinePunct w:val="0"/>
        <w:bidi w:val="0"/>
        <w:adjustRightInd w:val="0"/>
        <w:snapToGrid w:val="0"/>
        <w:spacing w:before="155" w:line="540" w:lineRule="exact"/>
        <w:ind w:right="14" w:firstLine="643" w:firstLineChars="200"/>
        <w:jc w:val="both"/>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bCs/>
          <w:snapToGrid/>
          <w:color w:val="auto"/>
          <w:sz w:val="32"/>
          <w:szCs w:val="32"/>
          <w:lang w:val="en-US" w:eastAsia="zh-CN" w:bidi="ar-SA"/>
        </w:rPr>
        <w:t>第十九条</w:t>
      </w:r>
      <w:r>
        <w:rPr>
          <w:rFonts w:hint="eastAsia" w:ascii="仿宋_GB2312" w:hAnsi="仿宋_GB2312" w:eastAsia="仿宋_GB2312" w:cs="仿宋_GB2312"/>
          <w:b w:val="0"/>
          <w:bCs w:val="0"/>
          <w:color w:val="auto"/>
          <w:sz w:val="32"/>
          <w:szCs w:val="32"/>
          <w:lang w:eastAsia="zh-CN"/>
        </w:rPr>
        <w:t xml:space="preserve"> 班级公示期间，由班级评审小组负责收集和回复异议或问题，不能确定的上报年级评审小组（上报时可附上班级评审小组的初步意见）;年级公示期间，由年级评审小组负责收集和回复异议或问题，不能确定的上报学院研究生奖助学金评审委员会（上报时可附上年级小组的初步意见）;学院公示期间，由学院奖助金评审委员会负责收集和回复异议</w:t>
      </w:r>
      <w:r>
        <w:rPr>
          <w:rFonts w:hint="eastAsia" w:ascii="仿宋_GB2312" w:hAnsi="仿宋_GB2312" w:eastAsia="仿宋_GB2312" w:cs="仿宋_GB2312"/>
          <w:b w:val="0"/>
          <w:bCs w:val="0"/>
          <w:color w:val="auto"/>
          <w:sz w:val="32"/>
          <w:szCs w:val="32"/>
          <w:lang w:val="en-US" w:eastAsia="zh-CN"/>
        </w:rPr>
        <w:t>或</w:t>
      </w:r>
      <w:r>
        <w:rPr>
          <w:rFonts w:hint="eastAsia" w:ascii="仿宋_GB2312" w:hAnsi="仿宋_GB2312" w:eastAsia="仿宋_GB2312" w:cs="仿宋_GB2312"/>
          <w:b w:val="0"/>
          <w:bCs w:val="0"/>
          <w:color w:val="auto"/>
          <w:sz w:val="32"/>
          <w:szCs w:val="32"/>
          <w:lang w:eastAsia="zh-CN"/>
        </w:rPr>
        <w:t>问题</w:t>
      </w:r>
      <w:r>
        <w:rPr>
          <w:rFonts w:hint="eastAsia" w:ascii="仿宋_GB2312" w:hAnsi="仿宋_GB2312" w:eastAsia="仿宋_GB2312" w:cs="仿宋_GB2312"/>
          <w:b w:val="0"/>
          <w:bCs w:val="0"/>
          <w:color w:val="auto"/>
          <w:sz w:val="32"/>
          <w:szCs w:val="32"/>
          <w:highlight w:val="none"/>
          <w:lang w:eastAsia="zh-CN"/>
        </w:rPr>
        <w:t>。</w:t>
      </w:r>
    </w:p>
    <w:p w14:paraId="53C7531B">
      <w:pPr>
        <w:pStyle w:val="3"/>
        <w:keepNext w:val="0"/>
        <w:keepLines w:val="0"/>
        <w:pageBreakBefore w:val="0"/>
        <w:numPr>
          <w:ilvl w:val="12"/>
          <w:numId w:val="0"/>
        </w:numPr>
        <w:wordWrap/>
        <w:overflowPunct/>
        <w:topLinePunct w:val="0"/>
        <w:bidi w:val="0"/>
        <w:adjustRightInd w:val="0"/>
        <w:snapToGrid w:val="0"/>
        <w:spacing w:before="155" w:line="540" w:lineRule="exact"/>
        <w:ind w:right="14" w:firstLine="643" w:firstLineChars="200"/>
        <w:jc w:val="both"/>
        <w:rPr>
          <w:rFonts w:hint="eastAsia" w:ascii="仿宋_GB2312" w:hAnsi="仿宋_GB2312" w:eastAsia="仿宋_GB2312" w:cs="仿宋_GB2312"/>
          <w:b w:val="0"/>
          <w:bCs w:val="0"/>
          <w:color w:val="auto"/>
          <w:spacing w:val="1"/>
          <w:sz w:val="32"/>
          <w:szCs w:val="32"/>
          <w:lang w:eastAsia="zh-CN"/>
        </w:rPr>
      </w:pPr>
      <w:r>
        <w:rPr>
          <w:rFonts w:hint="eastAsia" w:ascii="仿宋_GB2312" w:hAnsi="仿宋_GB2312" w:eastAsia="仿宋_GB2312" w:cs="仿宋_GB2312"/>
          <w:b/>
          <w:bCs/>
          <w:snapToGrid/>
          <w:color w:val="auto"/>
          <w:sz w:val="32"/>
          <w:szCs w:val="32"/>
          <w:lang w:val="en-US" w:eastAsia="zh-CN" w:bidi="ar-SA"/>
        </w:rPr>
        <w:t xml:space="preserve">第二十条 </w:t>
      </w:r>
      <w:r>
        <w:rPr>
          <w:rFonts w:hint="eastAsia" w:ascii="仿宋_GB2312" w:hAnsi="仿宋_GB2312" w:eastAsia="仿宋_GB2312" w:cs="仿宋_GB2312"/>
          <w:b w:val="0"/>
          <w:bCs w:val="0"/>
          <w:color w:val="auto"/>
          <w:spacing w:val="65"/>
          <w:sz w:val="32"/>
          <w:szCs w:val="32"/>
          <w:highlight w:val="none"/>
          <w:lang w:eastAsia="zh-CN"/>
        </w:rPr>
        <w:t>如</w:t>
      </w:r>
      <w:r>
        <w:rPr>
          <w:rFonts w:hint="eastAsia" w:ascii="仿宋_GB2312" w:hAnsi="仿宋_GB2312" w:eastAsia="仿宋_GB2312" w:cs="仿宋_GB2312"/>
          <w:b w:val="0"/>
          <w:bCs w:val="0"/>
          <w:color w:val="auto"/>
          <w:spacing w:val="65"/>
          <w:sz w:val="32"/>
          <w:szCs w:val="32"/>
          <w:highlight w:val="none"/>
          <w:lang w:val="en-US" w:eastAsia="zh-CN"/>
        </w:rPr>
        <w:t>有本细则附件中未涵盖的</w:t>
      </w:r>
      <w:r>
        <w:rPr>
          <w:rFonts w:hint="eastAsia" w:ascii="仿宋_GB2312" w:hAnsi="仿宋_GB2312" w:eastAsia="仿宋_GB2312" w:cs="仿宋_GB2312"/>
          <w:b w:val="0"/>
          <w:bCs w:val="0"/>
          <w:color w:val="auto"/>
          <w:spacing w:val="65"/>
          <w:sz w:val="32"/>
          <w:szCs w:val="32"/>
          <w:highlight w:val="none"/>
          <w:lang w:eastAsia="zh-CN"/>
        </w:rPr>
        <w:t>学术创新成果和素质拓展</w:t>
      </w:r>
      <w:r>
        <w:rPr>
          <w:rFonts w:hint="eastAsia" w:ascii="仿宋_GB2312" w:hAnsi="仿宋_GB2312" w:eastAsia="仿宋_GB2312" w:cs="仿宋_GB2312"/>
          <w:b w:val="0"/>
          <w:bCs w:val="0"/>
          <w:color w:val="auto"/>
          <w:spacing w:val="65"/>
          <w:sz w:val="32"/>
          <w:szCs w:val="32"/>
          <w:highlight w:val="none"/>
          <w:lang w:val="en-US" w:eastAsia="zh-CN"/>
        </w:rPr>
        <w:t>等内容</w:t>
      </w:r>
      <w:r>
        <w:rPr>
          <w:rFonts w:hint="eastAsia" w:ascii="仿宋_GB2312" w:hAnsi="仿宋_GB2312" w:eastAsia="仿宋_GB2312" w:cs="仿宋_GB2312"/>
          <w:b w:val="0"/>
          <w:bCs w:val="0"/>
          <w:color w:val="auto"/>
          <w:spacing w:val="4"/>
          <w:sz w:val="32"/>
          <w:szCs w:val="32"/>
          <w:highlight w:val="none"/>
          <w:lang w:eastAsia="zh-CN"/>
        </w:rPr>
        <w:t>，学生</w:t>
      </w:r>
      <w:r>
        <w:rPr>
          <w:rFonts w:hint="eastAsia" w:ascii="仿宋_GB2312" w:hAnsi="仿宋_GB2312" w:eastAsia="仿宋_GB2312" w:cs="仿宋_GB2312"/>
          <w:b w:val="0"/>
          <w:bCs w:val="0"/>
          <w:color w:val="auto"/>
          <w:spacing w:val="4"/>
          <w:sz w:val="32"/>
          <w:szCs w:val="32"/>
          <w:highlight w:val="none"/>
          <w:lang w:val="en-US" w:eastAsia="zh-CN"/>
        </w:rPr>
        <w:t>可</w:t>
      </w:r>
      <w:r>
        <w:rPr>
          <w:rFonts w:hint="eastAsia" w:ascii="仿宋_GB2312" w:hAnsi="仿宋_GB2312" w:eastAsia="仿宋_GB2312" w:cs="仿宋_GB2312"/>
          <w:b w:val="0"/>
          <w:bCs w:val="0"/>
          <w:color w:val="auto"/>
          <w:spacing w:val="4"/>
          <w:sz w:val="32"/>
          <w:szCs w:val="32"/>
          <w:highlight w:val="none"/>
          <w:lang w:eastAsia="zh-CN"/>
        </w:rPr>
        <w:t>按照评选时间统一要求一并提交材料逐级进行审核，由学院</w:t>
      </w:r>
      <w:r>
        <w:rPr>
          <w:rFonts w:hint="eastAsia" w:ascii="仿宋_GB2312" w:hAnsi="仿宋_GB2312" w:eastAsia="仿宋_GB2312" w:cs="仿宋_GB2312"/>
          <w:b w:val="0"/>
          <w:bCs w:val="0"/>
          <w:color w:val="auto"/>
          <w:sz w:val="32"/>
          <w:szCs w:val="32"/>
          <w:highlight w:val="none"/>
          <w:lang w:eastAsia="zh-CN"/>
        </w:rPr>
        <w:t>研究生奖助金评审委员会讨论决定相关加分事宜</w:t>
      </w:r>
      <w:r>
        <w:rPr>
          <w:rFonts w:hint="eastAsia" w:ascii="仿宋_GB2312" w:hAnsi="仿宋_GB2312" w:eastAsia="仿宋_GB2312" w:cs="仿宋_GB2312"/>
          <w:b w:val="0"/>
          <w:bCs w:val="0"/>
          <w:color w:val="auto"/>
          <w:spacing w:val="3"/>
          <w:sz w:val="32"/>
          <w:szCs w:val="32"/>
          <w:highlight w:val="none"/>
          <w:lang w:eastAsia="zh-CN"/>
        </w:rPr>
        <w:t>。</w:t>
      </w:r>
    </w:p>
    <w:p w14:paraId="0A2BBFD5">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outlineLvl w:val="0"/>
        <w:rPr>
          <w:rFonts w:hint="eastAsia" w:ascii="仿宋_GB2312" w:hAnsi="仿宋_GB2312" w:eastAsia="仿宋_GB2312" w:cs="仿宋_GB2312"/>
          <w:b w:val="0"/>
          <w:bCs w:val="0"/>
          <w:color w:val="auto"/>
          <w:sz w:val="32"/>
          <w:szCs w:val="32"/>
          <w:highlight w:val="none"/>
          <w:lang w:eastAsia="zh-CN"/>
        </w:rPr>
      </w:pPr>
      <w:r>
        <w:rPr>
          <w:rFonts w:hint="eastAsia" w:ascii="Times New Roman" w:hAnsi="Times New Roman" w:eastAsia="黑体" w:cs="Times New Roman"/>
          <w:bCs/>
          <w:snapToGrid w:val="0"/>
          <w:kern w:val="2"/>
          <w:sz w:val="32"/>
          <w:szCs w:val="44"/>
          <w:lang w:eastAsia="zh-CN"/>
        </w:rPr>
        <w:t>第九章    附则</w:t>
      </w:r>
    </w:p>
    <w:p w14:paraId="2C3128D2">
      <w:pPr>
        <w:pStyle w:val="3"/>
        <w:keepNext w:val="0"/>
        <w:keepLines w:val="0"/>
        <w:pageBreakBefore w:val="0"/>
        <w:numPr>
          <w:ilvl w:val="12"/>
          <w:numId w:val="0"/>
        </w:numPr>
        <w:wordWrap/>
        <w:overflowPunct/>
        <w:topLinePunct w:val="0"/>
        <w:bidi w:val="0"/>
        <w:adjustRightInd w:val="0"/>
        <w:snapToGrid w:val="0"/>
        <w:spacing w:before="155" w:line="540" w:lineRule="exact"/>
        <w:ind w:right="14" w:firstLine="643" w:firstLineChars="200"/>
        <w:jc w:val="both"/>
        <w:rPr>
          <w:rFonts w:hint="eastAsia" w:ascii="仿宋_GB2312" w:hAnsi="仿宋_GB2312" w:eastAsia="仿宋_GB2312" w:cs="仿宋_GB2312"/>
          <w:b w:val="0"/>
          <w:bCs w:val="0"/>
          <w:color w:val="auto"/>
          <w:spacing w:val="7"/>
          <w:sz w:val="32"/>
          <w:szCs w:val="32"/>
          <w:highlight w:val="none"/>
          <w:lang w:eastAsia="zh-CN"/>
        </w:rPr>
      </w:pPr>
      <w:r>
        <w:rPr>
          <w:rFonts w:hint="eastAsia" w:ascii="仿宋_GB2312" w:hAnsi="仿宋_GB2312" w:eastAsia="仿宋_GB2312" w:cs="仿宋_GB2312"/>
          <w:b/>
          <w:bCs/>
          <w:snapToGrid/>
          <w:color w:val="auto"/>
          <w:sz w:val="32"/>
          <w:szCs w:val="32"/>
          <w:lang w:val="en-US" w:eastAsia="zh-CN" w:bidi="ar-SA"/>
        </w:rPr>
        <w:t>第二十一条</w:t>
      </w:r>
      <w:r>
        <w:rPr>
          <w:rFonts w:hint="eastAsia" w:ascii="仿宋_GB2312" w:hAnsi="仿宋_GB2312" w:eastAsia="仿宋_GB2312" w:cs="仿宋_GB2312"/>
          <w:b w:val="0"/>
          <w:bCs w:val="0"/>
          <w:color w:val="auto"/>
          <w:spacing w:val="65"/>
          <w:sz w:val="32"/>
          <w:szCs w:val="32"/>
          <w:highlight w:val="none"/>
          <w:lang w:eastAsia="zh-CN"/>
        </w:rPr>
        <w:t xml:space="preserve"> </w:t>
      </w:r>
      <w:r>
        <w:rPr>
          <w:rFonts w:hint="eastAsia" w:ascii="仿宋_GB2312" w:hAnsi="仿宋_GB2312" w:eastAsia="仿宋_GB2312" w:cs="仿宋_GB2312"/>
          <w:b w:val="0"/>
          <w:bCs w:val="0"/>
          <w:color w:val="auto"/>
          <w:spacing w:val="7"/>
          <w:sz w:val="32"/>
          <w:szCs w:val="32"/>
          <w:highlight w:val="none"/>
          <w:lang w:eastAsia="zh-CN"/>
        </w:rPr>
        <w:t>其他未尽事宜或本细则未涵盖的内容由学院评审委员会研究决定。</w:t>
      </w:r>
    </w:p>
    <w:p w14:paraId="3A762ABC">
      <w:pPr>
        <w:pStyle w:val="3"/>
        <w:keepNext w:val="0"/>
        <w:keepLines w:val="0"/>
        <w:pageBreakBefore w:val="0"/>
        <w:numPr>
          <w:ilvl w:val="12"/>
          <w:numId w:val="0"/>
        </w:numPr>
        <w:wordWrap/>
        <w:overflowPunct/>
        <w:topLinePunct w:val="0"/>
        <w:bidi w:val="0"/>
        <w:adjustRightInd w:val="0"/>
        <w:snapToGrid w:val="0"/>
        <w:spacing w:before="155" w:line="540" w:lineRule="exact"/>
        <w:ind w:right="14" w:firstLine="643" w:firstLineChars="200"/>
        <w:jc w:val="both"/>
        <w:rPr>
          <w:rFonts w:hint="eastAsia" w:ascii="仿宋_GB2312" w:hAnsi="仿宋_GB2312" w:eastAsia="仿宋_GB2312" w:cs="仿宋_GB2312"/>
          <w:b w:val="0"/>
          <w:bCs w:val="0"/>
          <w:color w:val="auto"/>
          <w:spacing w:val="7"/>
          <w:sz w:val="32"/>
          <w:szCs w:val="32"/>
          <w:highlight w:val="none"/>
          <w:lang w:eastAsia="zh-CN"/>
        </w:rPr>
      </w:pPr>
      <w:r>
        <w:rPr>
          <w:rFonts w:hint="eastAsia" w:ascii="仿宋_GB2312" w:hAnsi="仿宋_GB2312" w:eastAsia="仿宋_GB2312" w:cs="仿宋_GB2312"/>
          <w:b/>
          <w:bCs/>
          <w:snapToGrid/>
          <w:color w:val="auto"/>
          <w:sz w:val="32"/>
          <w:szCs w:val="32"/>
          <w:lang w:val="en-US" w:eastAsia="zh-CN" w:bidi="ar-SA"/>
        </w:rPr>
        <w:t>第二十二条</w:t>
      </w:r>
      <w:r>
        <w:rPr>
          <w:rFonts w:hint="eastAsia" w:ascii="仿宋_GB2312" w:hAnsi="仿宋_GB2312" w:eastAsia="仿宋_GB2312" w:cs="仿宋_GB2312"/>
          <w:b w:val="0"/>
          <w:bCs w:val="0"/>
          <w:color w:val="auto"/>
          <w:spacing w:val="7"/>
          <w:sz w:val="32"/>
          <w:szCs w:val="32"/>
          <w:highlight w:val="none"/>
          <w:lang w:val="en-US" w:eastAsia="zh-CN"/>
          <w14:textOutline w14:w="5791" w14:cap="sq">
            <w14:solidFill>
              <w14:srgbClr w14:val="000000"/>
            </w14:solidFill>
            <w14:prstDash w14:val="solid"/>
            <w14:bevel/>
          </w14:textOutline>
        </w:rPr>
        <w:t xml:space="preserve"> </w:t>
      </w:r>
      <w:r>
        <w:rPr>
          <w:rFonts w:hint="eastAsia" w:ascii="仿宋_GB2312" w:hAnsi="仿宋_GB2312" w:eastAsia="仿宋_GB2312" w:cs="仿宋_GB2312"/>
          <w:b w:val="0"/>
          <w:bCs w:val="0"/>
          <w:color w:val="auto"/>
          <w:spacing w:val="7"/>
          <w:sz w:val="32"/>
          <w:szCs w:val="32"/>
          <w:highlight w:val="none"/>
          <w:lang w:eastAsia="zh-CN"/>
        </w:rPr>
        <w:t>本办法解释权归学院研究生奖助金评审</w:t>
      </w:r>
      <w:r>
        <w:rPr>
          <w:rFonts w:hint="eastAsia" w:ascii="仿宋_GB2312" w:hAnsi="仿宋_GB2312" w:eastAsia="仿宋_GB2312" w:cs="仿宋_GB2312"/>
          <w:b w:val="0"/>
          <w:bCs w:val="0"/>
          <w:color w:val="auto"/>
          <w:spacing w:val="7"/>
          <w:sz w:val="32"/>
          <w:szCs w:val="32"/>
          <w:highlight w:val="none"/>
          <w:lang w:val="en-US" w:eastAsia="zh-CN"/>
        </w:rPr>
        <w:t>委员会</w:t>
      </w:r>
      <w:r>
        <w:rPr>
          <w:rFonts w:hint="eastAsia" w:ascii="仿宋_GB2312" w:hAnsi="仿宋_GB2312" w:eastAsia="仿宋_GB2312" w:cs="仿宋_GB2312"/>
          <w:b w:val="0"/>
          <w:bCs w:val="0"/>
          <w:color w:val="auto"/>
          <w:spacing w:val="7"/>
          <w:sz w:val="32"/>
          <w:szCs w:val="32"/>
          <w:highlight w:val="none"/>
          <w:lang w:eastAsia="zh-CN"/>
        </w:rPr>
        <w:t>。</w:t>
      </w:r>
    </w:p>
    <w:p w14:paraId="6612DF1F">
      <w:pPr>
        <w:pStyle w:val="3"/>
        <w:keepNext w:val="0"/>
        <w:keepLines w:val="0"/>
        <w:pageBreakBefore w:val="0"/>
        <w:numPr>
          <w:ilvl w:val="12"/>
          <w:numId w:val="0"/>
        </w:numPr>
        <w:wordWrap/>
        <w:overflowPunct/>
        <w:topLinePunct w:val="0"/>
        <w:bidi w:val="0"/>
        <w:adjustRightInd w:val="0"/>
        <w:snapToGrid w:val="0"/>
        <w:spacing w:before="155" w:line="540" w:lineRule="exact"/>
        <w:ind w:right="14" w:firstLine="643" w:firstLineChars="200"/>
        <w:jc w:val="both"/>
        <w:rPr>
          <w:rFonts w:hint="eastAsia" w:ascii="仿宋_GB2312" w:hAnsi="仿宋_GB2312" w:eastAsia="仿宋_GB2312" w:cs="仿宋_GB2312"/>
          <w:b w:val="0"/>
          <w:bCs w:val="0"/>
          <w:color w:val="auto"/>
          <w:spacing w:val="7"/>
          <w:sz w:val="32"/>
          <w:szCs w:val="32"/>
          <w:lang w:eastAsia="zh-CN"/>
          <w14:textOutline w14:w="5791" w14:cap="sq">
            <w14:solidFill>
              <w14:srgbClr w14:val="000000"/>
            </w14:solidFill>
            <w14:prstDash w14:val="solid"/>
            <w14:bevel/>
          </w14:textOutline>
        </w:rPr>
      </w:pPr>
      <w:r>
        <w:rPr>
          <w:rFonts w:hint="eastAsia" w:ascii="仿宋_GB2312" w:hAnsi="仿宋_GB2312" w:eastAsia="仿宋_GB2312" w:cs="仿宋_GB2312"/>
          <w:b/>
          <w:bCs/>
          <w:snapToGrid/>
          <w:color w:val="auto"/>
          <w:sz w:val="32"/>
          <w:szCs w:val="32"/>
          <w:lang w:val="en-US" w:eastAsia="zh-CN" w:bidi="ar-SA"/>
        </w:rPr>
        <w:t xml:space="preserve">第二十三条 </w:t>
      </w:r>
      <w:r>
        <w:rPr>
          <w:rFonts w:hint="eastAsia" w:ascii="仿宋_GB2312" w:hAnsi="仿宋_GB2312" w:eastAsia="仿宋_GB2312" w:cs="仿宋_GB2312"/>
          <w:b w:val="0"/>
          <w:bCs w:val="0"/>
          <w:color w:val="auto"/>
          <w:sz w:val="32"/>
          <w:szCs w:val="32"/>
          <w:lang w:eastAsia="zh-CN"/>
        </w:rPr>
        <w:t>本细则经2025年第</w:t>
      </w:r>
      <w:r>
        <w:rPr>
          <w:rFonts w:hint="eastAsia" w:ascii="仿宋_GB2312" w:hAnsi="仿宋_GB2312" w:eastAsia="仿宋_GB2312" w:cs="仿宋_GB2312"/>
          <w:b w:val="0"/>
          <w:bCs w:val="0"/>
          <w:color w:val="auto"/>
          <w:sz w:val="32"/>
          <w:szCs w:val="32"/>
          <w:lang w:val="en-US" w:eastAsia="zh-CN"/>
        </w:rPr>
        <w:t>20</w:t>
      </w:r>
      <w:r>
        <w:rPr>
          <w:rFonts w:hint="eastAsia" w:ascii="仿宋_GB2312" w:hAnsi="仿宋_GB2312" w:eastAsia="仿宋_GB2312" w:cs="仿宋_GB2312"/>
          <w:b w:val="0"/>
          <w:bCs w:val="0"/>
          <w:color w:val="auto"/>
          <w:sz w:val="32"/>
          <w:szCs w:val="32"/>
          <w:lang w:eastAsia="zh-CN"/>
        </w:rPr>
        <w:t>次学院党政联席会审议通过，自发布之日起实行。</w:t>
      </w:r>
    </w:p>
    <w:p w14:paraId="7D0694D4">
      <w:pPr>
        <w:spacing w:line="298" w:lineRule="auto"/>
        <w:jc w:val="both"/>
        <w:rPr>
          <w:rFonts w:hint="eastAsia" w:ascii="仿宋_GB2312" w:hAnsi="仿宋_GB2312" w:eastAsia="仿宋_GB2312" w:cs="仿宋_GB2312"/>
          <w:b w:val="0"/>
          <w:bCs w:val="0"/>
          <w:color w:val="auto"/>
          <w:sz w:val="32"/>
          <w:szCs w:val="32"/>
          <w:lang w:eastAsia="zh-CN"/>
        </w:rPr>
      </w:pPr>
    </w:p>
    <w:p w14:paraId="008890CA">
      <w:pPr>
        <w:spacing w:line="298" w:lineRule="auto"/>
        <w:jc w:val="both"/>
        <w:rPr>
          <w:rFonts w:hint="eastAsia" w:ascii="仿宋_GB2312" w:hAnsi="仿宋_GB2312" w:eastAsia="仿宋_GB2312" w:cs="仿宋_GB2312"/>
          <w:b w:val="0"/>
          <w:bCs w:val="0"/>
          <w:color w:val="auto"/>
          <w:sz w:val="32"/>
          <w:szCs w:val="32"/>
          <w:lang w:eastAsia="zh-CN"/>
        </w:rPr>
      </w:pPr>
    </w:p>
    <w:p w14:paraId="12274DF5">
      <w:pPr>
        <w:pStyle w:val="3"/>
        <w:spacing w:before="101" w:line="540" w:lineRule="exact"/>
        <w:jc w:val="both"/>
        <w:rPr>
          <w:rFonts w:hint="eastAsia" w:ascii="仿宋_GB2312" w:hAnsi="仿宋_GB2312" w:eastAsia="仿宋_GB2312" w:cs="仿宋_GB2312"/>
          <w:b w:val="0"/>
          <w:bCs w:val="0"/>
          <w:color w:val="auto"/>
          <w:spacing w:val="3"/>
          <w:position w:val="16"/>
          <w:sz w:val="32"/>
          <w:szCs w:val="32"/>
          <w:lang w:eastAsia="zh-CN"/>
        </w:rPr>
      </w:pPr>
      <w:r>
        <w:rPr>
          <w:rFonts w:hint="eastAsia" w:ascii="仿宋_GB2312" w:hAnsi="仿宋_GB2312" w:eastAsia="仿宋_GB2312" w:cs="仿宋_GB2312"/>
          <w:b w:val="0"/>
          <w:bCs w:val="0"/>
          <w:color w:val="auto"/>
          <w:spacing w:val="3"/>
          <w:position w:val="16"/>
          <w:sz w:val="32"/>
          <w:szCs w:val="32"/>
          <w:lang w:eastAsia="zh-CN"/>
        </w:rPr>
        <w:t>附件：土木工程学院研究生综合测评成绩计算</w:t>
      </w:r>
      <w:r>
        <w:rPr>
          <w:rFonts w:hint="eastAsia" w:ascii="仿宋_GB2312" w:hAnsi="仿宋_GB2312" w:eastAsia="仿宋_GB2312" w:cs="仿宋_GB2312"/>
          <w:b w:val="0"/>
          <w:bCs w:val="0"/>
          <w:color w:val="auto"/>
          <w:spacing w:val="3"/>
          <w:position w:val="16"/>
          <w:sz w:val="32"/>
          <w:szCs w:val="32"/>
          <w:lang w:val="en-US" w:eastAsia="zh-CN"/>
        </w:rPr>
        <w:t>办法</w:t>
      </w:r>
      <w:r>
        <w:rPr>
          <w:rFonts w:hint="eastAsia" w:ascii="仿宋_GB2312" w:hAnsi="仿宋_GB2312" w:eastAsia="仿宋_GB2312" w:cs="仿宋_GB2312"/>
          <w:b w:val="0"/>
          <w:bCs w:val="0"/>
          <w:color w:val="auto"/>
          <w:spacing w:val="3"/>
          <w:position w:val="16"/>
          <w:sz w:val="32"/>
          <w:szCs w:val="32"/>
          <w:lang w:eastAsia="zh-CN"/>
        </w:rPr>
        <w:t>（2025年</w:t>
      </w:r>
      <w:r>
        <w:rPr>
          <w:rFonts w:hint="eastAsia" w:ascii="仿宋_GB2312" w:hAnsi="仿宋_GB2312" w:eastAsia="仿宋_GB2312" w:cs="仿宋_GB2312"/>
          <w:b w:val="0"/>
          <w:bCs w:val="0"/>
          <w:color w:val="auto"/>
          <w:spacing w:val="3"/>
          <w:position w:val="16"/>
          <w:sz w:val="32"/>
          <w:szCs w:val="32"/>
          <w:lang w:val="en-US" w:eastAsia="zh-CN"/>
        </w:rPr>
        <w:t>11月</w:t>
      </w:r>
      <w:r>
        <w:rPr>
          <w:rFonts w:hint="eastAsia" w:ascii="仿宋_GB2312" w:hAnsi="仿宋_GB2312" w:eastAsia="仿宋_GB2312" w:cs="仿宋_GB2312"/>
          <w:b w:val="0"/>
          <w:bCs w:val="0"/>
          <w:color w:val="auto"/>
          <w:spacing w:val="3"/>
          <w:position w:val="16"/>
          <w:sz w:val="32"/>
          <w:szCs w:val="32"/>
          <w:lang w:eastAsia="zh-CN"/>
        </w:rPr>
        <w:t>）</w:t>
      </w:r>
    </w:p>
    <w:p w14:paraId="08E668CE">
      <w:pPr>
        <w:pStyle w:val="3"/>
        <w:spacing w:before="101" w:line="540" w:lineRule="exact"/>
        <w:jc w:val="both"/>
        <w:rPr>
          <w:rFonts w:hint="eastAsia" w:ascii="仿宋_GB2312" w:hAnsi="仿宋_GB2312" w:eastAsia="仿宋_GB2312" w:cs="仿宋_GB2312"/>
          <w:b w:val="0"/>
          <w:bCs w:val="0"/>
          <w:color w:val="auto"/>
          <w:spacing w:val="3"/>
          <w:position w:val="16"/>
          <w:sz w:val="32"/>
          <w:szCs w:val="32"/>
          <w:lang w:eastAsia="zh-CN"/>
        </w:rPr>
      </w:pPr>
    </w:p>
    <w:p w14:paraId="0A4F59AE">
      <w:pPr>
        <w:pStyle w:val="3"/>
        <w:spacing w:before="101" w:line="540" w:lineRule="exact"/>
        <w:jc w:val="right"/>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pacing w:val="3"/>
          <w:position w:val="16"/>
          <w:sz w:val="32"/>
          <w:szCs w:val="32"/>
          <w:lang w:eastAsia="zh-CN"/>
        </w:rPr>
        <w:t>中山大学土木工程学院</w:t>
      </w:r>
    </w:p>
    <w:p w14:paraId="213011D6">
      <w:pPr>
        <w:pStyle w:val="3"/>
        <w:spacing w:before="1" w:line="227" w:lineRule="auto"/>
        <w:jc w:val="right"/>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color w:val="auto"/>
          <w:spacing w:val="-7"/>
          <w:sz w:val="32"/>
          <w:szCs w:val="32"/>
          <w:lang w:eastAsia="zh-CN"/>
        </w:rPr>
        <w:t>2025年1</w:t>
      </w:r>
      <w:r>
        <w:rPr>
          <w:rFonts w:hint="eastAsia" w:ascii="仿宋_GB2312" w:hAnsi="仿宋_GB2312" w:eastAsia="仿宋_GB2312" w:cs="仿宋_GB2312"/>
          <w:b w:val="0"/>
          <w:bCs w:val="0"/>
          <w:color w:val="auto"/>
          <w:spacing w:val="-7"/>
          <w:sz w:val="32"/>
          <w:szCs w:val="32"/>
          <w:lang w:val="en-US" w:eastAsia="zh-CN"/>
        </w:rPr>
        <w:t>1</w:t>
      </w:r>
      <w:r>
        <w:rPr>
          <w:rFonts w:hint="eastAsia" w:ascii="仿宋_GB2312" w:hAnsi="仿宋_GB2312" w:eastAsia="仿宋_GB2312" w:cs="仿宋_GB2312"/>
          <w:b w:val="0"/>
          <w:bCs w:val="0"/>
          <w:color w:val="auto"/>
          <w:spacing w:val="-7"/>
          <w:sz w:val="32"/>
          <w:szCs w:val="32"/>
          <w:lang w:eastAsia="zh-CN"/>
        </w:rPr>
        <w:t>月</w:t>
      </w:r>
      <w:r>
        <w:rPr>
          <w:rFonts w:hint="eastAsia" w:ascii="仿宋_GB2312" w:hAnsi="仿宋_GB2312" w:eastAsia="仿宋_GB2312" w:cs="仿宋_GB2312"/>
          <w:b w:val="0"/>
          <w:bCs w:val="0"/>
          <w:color w:val="auto"/>
          <w:spacing w:val="-7"/>
          <w:sz w:val="32"/>
          <w:szCs w:val="32"/>
          <w:lang w:val="en-US" w:eastAsia="zh-CN"/>
        </w:rPr>
        <w:t>26</w:t>
      </w:r>
      <w:r>
        <w:rPr>
          <w:rFonts w:hint="eastAsia" w:ascii="仿宋_GB2312" w:hAnsi="仿宋_GB2312" w:eastAsia="仿宋_GB2312" w:cs="仿宋_GB2312"/>
          <w:b w:val="0"/>
          <w:bCs w:val="0"/>
          <w:color w:val="auto"/>
          <w:spacing w:val="-7"/>
          <w:sz w:val="32"/>
          <w:szCs w:val="32"/>
          <w:lang w:eastAsia="zh-CN"/>
        </w:rPr>
        <w:t>日</w:t>
      </w:r>
    </w:p>
    <w:p w14:paraId="0387E9EA">
      <w:pPr>
        <w:kinsoku/>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p>
    <w:p w14:paraId="6D4AD818">
      <w:pPr>
        <w:kinsoku/>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p>
    <w:p w14:paraId="503D7641">
      <w:pPr>
        <w:kinsoku/>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p>
    <w:p w14:paraId="2A36014B">
      <w:pPr>
        <w:kinsoku/>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p>
    <w:p w14:paraId="690825C4">
      <w:pPr>
        <w:kinsoku/>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p>
    <w:p w14:paraId="4E258B6B">
      <w:pPr>
        <w:kinsoku/>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p>
    <w:p w14:paraId="21592290">
      <w:pPr>
        <w:kinsoku/>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p>
    <w:p w14:paraId="421CE962">
      <w:pPr>
        <w:kinsoku/>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p>
    <w:p w14:paraId="4C313E9D">
      <w:pPr>
        <w:kinsoku/>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p>
    <w:p w14:paraId="305C4AD7">
      <w:pPr>
        <w:kinsoku/>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p>
    <w:p w14:paraId="6FE8C4E3">
      <w:pPr>
        <w:kinsoku/>
        <w:spacing w:line="540" w:lineRule="exact"/>
        <w:jc w:val="both"/>
        <w:textAlignment w:val="auto"/>
        <w:rPr>
          <w:rFonts w:hint="eastAsia" w:ascii="仿宋_GB2312" w:hAnsi="仿宋_GB2312" w:eastAsia="仿宋_GB2312" w:cs="仿宋_GB2312"/>
          <w:b w:val="0"/>
          <w:bCs w:val="0"/>
          <w:snapToGrid/>
          <w:color w:val="auto"/>
          <w:sz w:val="32"/>
          <w:szCs w:val="32"/>
          <w:lang w:eastAsia="zh-CN"/>
        </w:rPr>
        <w:sectPr>
          <w:footerReference r:id="rId3" w:type="default"/>
          <w:pgSz w:w="11906" w:h="16839"/>
          <w:pgMar w:top="1327" w:right="1406" w:bottom="1327" w:left="1406" w:header="0" w:footer="987" w:gutter="0"/>
          <w:pgNumType w:fmt="decimal" w:start="1"/>
          <w:cols w:space="720" w:num="1"/>
        </w:sectPr>
      </w:pPr>
    </w:p>
    <w:p w14:paraId="5C2FD570">
      <w:pPr>
        <w:kinsoku/>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黑体" w:hAnsi="黑体" w:eastAsia="黑体" w:cs="黑体"/>
          <w:b w:val="0"/>
          <w:bCs w:val="0"/>
          <w:snapToGrid/>
          <w:color w:val="auto"/>
          <w:sz w:val="36"/>
          <w:szCs w:val="36"/>
          <w:lang w:eastAsia="zh-CN"/>
        </w:rPr>
        <w:t>附件：土木工程学院研究生综合测评成绩计算</w:t>
      </w:r>
      <w:r>
        <w:rPr>
          <w:rFonts w:hint="eastAsia" w:ascii="黑体" w:hAnsi="黑体" w:eastAsia="黑体" w:cs="黑体"/>
          <w:b w:val="0"/>
          <w:bCs w:val="0"/>
          <w:snapToGrid/>
          <w:color w:val="auto"/>
          <w:sz w:val="36"/>
          <w:szCs w:val="36"/>
          <w:lang w:val="en-US" w:eastAsia="zh-CN"/>
        </w:rPr>
        <w:t>办法</w:t>
      </w:r>
    </w:p>
    <w:p w14:paraId="321C1356">
      <w:pPr>
        <w:kinsoku/>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p>
    <w:p w14:paraId="6A7904A0">
      <w:pPr>
        <w:keepNext w:val="0"/>
        <w:keepLines w:val="0"/>
        <w:pageBreakBefore w:val="0"/>
        <w:kinsoku/>
        <w:wordWrap/>
        <w:overflowPunct/>
        <w:topLinePunct w:val="0"/>
        <w:autoSpaceDE/>
        <w:autoSpaceDN/>
        <w:bidi w:val="0"/>
        <w:spacing w:line="540" w:lineRule="exact"/>
        <w:ind w:firstLine="0"/>
        <w:jc w:val="center"/>
        <w:textAlignment w:val="auto"/>
        <w:rPr>
          <w:rFonts w:hint="eastAsia" w:ascii="黑体" w:hAnsi="黑体" w:eastAsia="黑体" w:cs="黑体"/>
          <w:b w:val="0"/>
          <w:bCs w:val="0"/>
          <w:snapToGrid/>
          <w:color w:val="auto"/>
          <w:sz w:val="32"/>
          <w:szCs w:val="32"/>
          <w:highlight w:val="none"/>
          <w:lang w:eastAsia="zh-CN"/>
        </w:rPr>
      </w:pPr>
      <w:r>
        <w:rPr>
          <w:rFonts w:hint="eastAsia" w:ascii="黑体" w:hAnsi="黑体" w:eastAsia="黑体" w:cs="黑体"/>
          <w:b w:val="0"/>
          <w:bCs w:val="0"/>
          <w:snapToGrid/>
          <w:color w:val="auto"/>
          <w:sz w:val="32"/>
          <w:szCs w:val="32"/>
          <w:lang w:eastAsia="zh-CN"/>
        </w:rPr>
        <w:t>第一章  总则</w:t>
      </w:r>
    </w:p>
    <w:p w14:paraId="435F59D4">
      <w:pPr>
        <w:keepNext w:val="0"/>
        <w:keepLines w:val="0"/>
        <w:pageBreakBefore w:val="0"/>
        <w:widowControl w:val="0"/>
        <w:kinsoku/>
        <w:wordWrap/>
        <w:overflowPunct/>
        <w:topLinePunct w:val="0"/>
        <w:autoSpaceDE/>
        <w:autoSpaceDN/>
        <w:bidi w:val="0"/>
        <w:spacing w:line="540" w:lineRule="exact"/>
        <w:ind w:firstLine="640"/>
        <w:jc w:val="both"/>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bCs/>
          <w:snapToGrid/>
          <w:color w:val="auto"/>
          <w:sz w:val="32"/>
          <w:szCs w:val="32"/>
          <w:lang w:val="en-US" w:eastAsia="zh-CN" w:bidi="ar-SA"/>
        </w:rPr>
        <w:t xml:space="preserve">第一条 </w:t>
      </w:r>
      <w:r>
        <w:rPr>
          <w:rFonts w:hint="eastAsia" w:ascii="仿宋_GB2312" w:hAnsi="仿宋_GB2312" w:eastAsia="仿宋_GB2312" w:cs="仿宋_GB2312"/>
          <w:b w:val="0"/>
          <w:bCs w:val="0"/>
          <w:snapToGrid/>
          <w:color w:val="auto"/>
          <w:kern w:val="2"/>
          <w:sz w:val="32"/>
          <w:szCs w:val="32"/>
          <w:lang w:val="en-US" w:eastAsia="zh-CN"/>
        </w:rPr>
        <w:t>研究生综合测评成绩</w:t>
      </w:r>
      <w:r>
        <w:rPr>
          <w:rFonts w:hint="eastAsia" w:ascii="仿宋_GB2312" w:hAnsi="仿宋_GB2312" w:eastAsia="仿宋_GB2312" w:cs="仿宋_GB2312"/>
          <w:b w:val="0"/>
          <w:bCs w:val="0"/>
          <w:snapToGrid/>
          <w:color w:val="auto"/>
          <w:kern w:val="2"/>
          <w:sz w:val="32"/>
          <w:szCs w:val="32"/>
          <w:lang w:eastAsia="zh-CN"/>
        </w:rPr>
        <w:t>由课业成绩、学术创新成果和素质拓展加分三部分构成，</w:t>
      </w:r>
      <w:r>
        <w:rPr>
          <w:rFonts w:hint="eastAsia" w:ascii="仿宋_GB2312" w:hAnsi="仿宋_GB2312" w:eastAsia="仿宋_GB2312" w:cs="仿宋_GB2312"/>
          <w:b w:val="0"/>
          <w:bCs w:val="0"/>
          <w:snapToGrid/>
          <w:color w:val="auto"/>
          <w:kern w:val="2"/>
          <w:sz w:val="32"/>
          <w:szCs w:val="32"/>
          <w:lang w:val="en-US" w:eastAsia="zh-CN"/>
        </w:rPr>
        <w:t>遵循代表性成果评价和实事求是原则。</w:t>
      </w:r>
    </w:p>
    <w:p w14:paraId="6C73CA61">
      <w:pPr>
        <w:pStyle w:val="3"/>
        <w:keepNext w:val="0"/>
        <w:keepLines w:val="0"/>
        <w:pageBreakBefore w:val="0"/>
        <w:widowControl w:val="0"/>
        <w:numPr>
          <w:ilvl w:val="12"/>
          <w:numId w:val="0"/>
        </w:numPr>
        <w:kinsoku/>
        <w:wordWrap/>
        <w:overflowPunct/>
        <w:topLinePunct w:val="0"/>
        <w:autoSpaceDE/>
        <w:autoSpaceDN/>
        <w:bidi w:val="0"/>
        <w:spacing w:before="155" w:line="540" w:lineRule="exact"/>
        <w:ind w:right="14" w:firstLine="643" w:firstLineChars="200"/>
        <w:jc w:val="both"/>
        <w:textAlignment w:val="auto"/>
        <w:rPr>
          <w:rFonts w:hint="eastAsia" w:ascii="仿宋_GB2312" w:hAnsi="仿宋_GB2312" w:eastAsia="仿宋_GB2312" w:cs="仿宋_GB2312"/>
          <w:b w:val="0"/>
          <w:bCs w:val="0"/>
          <w:snapToGrid/>
          <w:color w:val="auto"/>
          <w:kern w:val="2"/>
          <w:sz w:val="32"/>
          <w:szCs w:val="32"/>
          <w:lang w:val="en-US" w:eastAsia="zh-CN"/>
        </w:rPr>
      </w:pPr>
      <w:r>
        <w:rPr>
          <w:rFonts w:hint="eastAsia" w:ascii="仿宋_GB2312" w:hAnsi="仿宋_GB2312" w:eastAsia="仿宋_GB2312" w:cs="仿宋_GB2312"/>
          <w:b/>
          <w:bCs/>
          <w:snapToGrid/>
          <w:color w:val="auto"/>
          <w:sz w:val="32"/>
          <w:szCs w:val="32"/>
          <w:lang w:val="en-US" w:eastAsia="zh-CN" w:bidi="ar-SA"/>
        </w:rPr>
        <w:t>第二条</w:t>
      </w:r>
      <w:r>
        <w:rPr>
          <w:rFonts w:hint="eastAsia" w:ascii="仿宋_GB2312" w:hAnsi="仿宋_GB2312" w:eastAsia="仿宋_GB2312" w:cs="仿宋_GB2312"/>
          <w:b w:val="0"/>
          <w:bCs w:val="0"/>
          <w:snapToGrid/>
          <w:color w:val="auto"/>
          <w:kern w:val="2"/>
          <w:sz w:val="32"/>
          <w:szCs w:val="32"/>
          <w:lang w:val="en-US" w:eastAsia="zh-CN"/>
        </w:rPr>
        <w:t xml:space="preserve"> </w:t>
      </w:r>
      <w:r>
        <w:rPr>
          <w:rFonts w:hint="eastAsia" w:ascii="仿宋_GB2312" w:hAnsi="仿宋_GB2312" w:eastAsia="仿宋_GB2312" w:cs="仿宋_GB2312"/>
          <w:b w:val="0"/>
          <w:bCs w:val="0"/>
          <w:color w:val="auto"/>
          <w:sz w:val="32"/>
          <w:szCs w:val="32"/>
          <w:lang w:val="en-US" w:eastAsia="zh-CN"/>
        </w:rPr>
        <w:t>若出现评分相同的情况，如果学术创新成果加分有差异，则以学术创新成果加分高低排序；如学术创新成果加分相同，则按课业成绩高低排序。</w:t>
      </w:r>
    </w:p>
    <w:p w14:paraId="27A5E006">
      <w:pPr>
        <w:keepNext w:val="0"/>
        <w:keepLines w:val="0"/>
        <w:pageBreakBefore w:val="0"/>
        <w:widowControl w:val="0"/>
        <w:kinsoku/>
        <w:wordWrap/>
        <w:overflowPunct/>
        <w:topLinePunct w:val="0"/>
        <w:autoSpaceDE/>
        <w:autoSpaceDN/>
        <w:bidi w:val="0"/>
        <w:spacing w:line="540" w:lineRule="exact"/>
        <w:ind w:firstLine="640"/>
        <w:jc w:val="both"/>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bCs/>
          <w:snapToGrid/>
          <w:color w:val="auto"/>
          <w:sz w:val="32"/>
          <w:szCs w:val="32"/>
          <w:lang w:val="en-US" w:eastAsia="zh-CN"/>
        </w:rPr>
        <w:t>第三条</w:t>
      </w:r>
      <w:r>
        <w:rPr>
          <w:rFonts w:hint="eastAsia" w:ascii="仿宋_GB2312" w:hAnsi="仿宋_GB2312" w:eastAsia="仿宋_GB2312" w:cs="仿宋_GB2312"/>
          <w:b w:val="0"/>
          <w:bCs w:val="0"/>
          <w:snapToGrid/>
          <w:color w:val="auto"/>
          <w:kern w:val="2"/>
          <w:sz w:val="32"/>
          <w:szCs w:val="32"/>
          <w:lang w:val="en-US" w:eastAsia="zh-CN"/>
        </w:rPr>
        <w:t xml:space="preserve"> </w:t>
      </w:r>
      <w:r>
        <w:rPr>
          <w:rFonts w:hint="eastAsia" w:ascii="仿宋_GB2312" w:hAnsi="仿宋_GB2312" w:eastAsia="仿宋_GB2312" w:cs="仿宋_GB2312"/>
          <w:b w:val="0"/>
          <w:bCs w:val="0"/>
          <w:snapToGrid/>
          <w:color w:val="auto"/>
          <w:kern w:val="2"/>
          <w:sz w:val="32"/>
          <w:szCs w:val="32"/>
          <w:lang w:eastAsia="zh-CN"/>
        </w:rPr>
        <w:t>各年级加分权重设置</w:t>
      </w:r>
    </w:p>
    <w:p w14:paraId="219003C6">
      <w:pPr>
        <w:keepNext w:val="0"/>
        <w:keepLines w:val="0"/>
        <w:pageBreakBefore w:val="0"/>
        <w:widowControl w:val="0"/>
        <w:kinsoku/>
        <w:wordWrap/>
        <w:overflowPunct/>
        <w:topLinePunct w:val="0"/>
        <w:autoSpaceDE/>
        <w:autoSpaceDN/>
        <w:bidi w:val="0"/>
        <w:spacing w:line="540" w:lineRule="exact"/>
        <w:ind w:firstLine="640"/>
        <w:jc w:val="both"/>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（一）硕士研究生</w:t>
      </w:r>
    </w:p>
    <w:p w14:paraId="363C9722">
      <w:pPr>
        <w:keepNext w:val="0"/>
        <w:keepLines w:val="0"/>
        <w:pageBreakBefore w:val="0"/>
        <w:widowControl w:val="0"/>
        <w:numPr>
          <w:ilvl w:val="0"/>
          <w:numId w:val="0"/>
        </w:numPr>
        <w:kinsoku/>
        <w:wordWrap/>
        <w:overflowPunct/>
        <w:topLinePunct w:val="0"/>
        <w:autoSpaceDE/>
        <w:autoSpaceDN/>
        <w:bidi w:val="0"/>
        <w:spacing w:line="540" w:lineRule="exact"/>
        <w:ind w:left="630" w:leftChars="0"/>
        <w:jc w:val="both"/>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val="en-US" w:eastAsia="zh-CN"/>
        </w:rPr>
        <w:t>1.硕</w:t>
      </w:r>
      <w:r>
        <w:rPr>
          <w:rFonts w:hint="eastAsia" w:ascii="仿宋_GB2312" w:hAnsi="仿宋_GB2312" w:eastAsia="仿宋_GB2312" w:cs="仿宋_GB2312"/>
          <w:b w:val="0"/>
          <w:bCs w:val="0"/>
          <w:snapToGrid/>
          <w:color w:val="auto"/>
          <w:kern w:val="2"/>
          <w:sz w:val="32"/>
          <w:szCs w:val="32"/>
          <w:lang w:eastAsia="zh-CN"/>
        </w:rPr>
        <w:t>士一年级学生</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9"/>
        <w:gridCol w:w="3045"/>
        <w:gridCol w:w="3338"/>
      </w:tblGrid>
      <w:tr w14:paraId="1A1D1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9" w:type="dxa"/>
          </w:tcPr>
          <w:p w14:paraId="24A94E4B">
            <w:pPr>
              <w:keepNext w:val="0"/>
              <w:keepLines w:val="0"/>
              <w:pageBreakBefore w:val="0"/>
              <w:widowControl w:val="0"/>
              <w:numPr>
                <w:ilvl w:val="12"/>
                <w:numId w:val="0"/>
              </w:numPr>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kern w:val="2"/>
                <w:sz w:val="32"/>
                <w:szCs w:val="32"/>
                <w:lang w:eastAsia="zh-CN"/>
              </w:rPr>
            </w:pPr>
          </w:p>
        </w:tc>
        <w:tc>
          <w:tcPr>
            <w:tcW w:w="3045" w:type="dxa"/>
          </w:tcPr>
          <w:p w14:paraId="68E030E3">
            <w:pPr>
              <w:keepNext w:val="0"/>
              <w:keepLines w:val="0"/>
              <w:pageBreakBefore w:val="0"/>
              <w:widowControl w:val="0"/>
              <w:numPr>
                <w:ilvl w:val="12"/>
                <w:numId w:val="0"/>
              </w:numPr>
              <w:kinsoku/>
              <w:wordWrap/>
              <w:overflowPunct/>
              <w:topLinePunct w:val="0"/>
              <w:autoSpaceDE/>
              <w:autoSpaceDN/>
              <w:bidi w:val="0"/>
              <w:spacing w:line="540" w:lineRule="exact"/>
              <w:ind w:firstLine="640" w:firstLineChars="200"/>
              <w:jc w:val="both"/>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入学成绩</w:t>
            </w:r>
          </w:p>
        </w:tc>
        <w:tc>
          <w:tcPr>
            <w:tcW w:w="3338" w:type="dxa"/>
          </w:tcPr>
          <w:p w14:paraId="2CFB8039">
            <w:pPr>
              <w:keepNext w:val="0"/>
              <w:keepLines w:val="0"/>
              <w:pageBreakBefore w:val="0"/>
              <w:widowControl w:val="0"/>
              <w:numPr>
                <w:ilvl w:val="12"/>
                <w:numId w:val="0"/>
              </w:numPr>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学术创新成果</w:t>
            </w:r>
          </w:p>
        </w:tc>
      </w:tr>
      <w:tr w14:paraId="65855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9" w:type="dxa"/>
          </w:tcPr>
          <w:p w14:paraId="63A6008F">
            <w:pPr>
              <w:keepNext w:val="0"/>
              <w:keepLines w:val="0"/>
              <w:pageBreakBefore w:val="0"/>
              <w:widowControl w:val="0"/>
              <w:numPr>
                <w:ilvl w:val="12"/>
                <w:numId w:val="0"/>
              </w:numPr>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比重</w:t>
            </w:r>
          </w:p>
        </w:tc>
        <w:tc>
          <w:tcPr>
            <w:tcW w:w="3045" w:type="dxa"/>
          </w:tcPr>
          <w:p w14:paraId="6F1BC8C9">
            <w:pPr>
              <w:keepNext w:val="0"/>
              <w:keepLines w:val="0"/>
              <w:pageBreakBefore w:val="0"/>
              <w:widowControl w:val="0"/>
              <w:numPr>
                <w:ilvl w:val="12"/>
                <w:numId w:val="0"/>
              </w:numPr>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10</w:t>
            </w:r>
            <w:r>
              <w:rPr>
                <w:rFonts w:hint="eastAsia" w:ascii="仿宋_GB2312" w:hAnsi="仿宋_GB2312" w:eastAsia="仿宋_GB2312" w:cs="仿宋_GB2312"/>
                <w:b w:val="0"/>
                <w:bCs w:val="0"/>
                <w:snapToGrid/>
                <w:color w:val="auto"/>
                <w:kern w:val="2"/>
                <w:sz w:val="32"/>
                <w:szCs w:val="32"/>
                <w:lang w:val="en-US" w:eastAsia="zh-CN"/>
              </w:rPr>
              <w:t>0</w:t>
            </w:r>
            <w:r>
              <w:rPr>
                <w:rFonts w:hint="eastAsia" w:ascii="仿宋_GB2312" w:hAnsi="仿宋_GB2312" w:eastAsia="仿宋_GB2312" w:cs="仿宋_GB2312"/>
                <w:b w:val="0"/>
                <w:bCs w:val="0"/>
                <w:snapToGrid/>
                <w:color w:val="auto"/>
                <w:kern w:val="2"/>
                <w:sz w:val="32"/>
                <w:szCs w:val="32"/>
                <w:lang w:eastAsia="zh-CN"/>
              </w:rPr>
              <w:t>%</w:t>
            </w:r>
          </w:p>
        </w:tc>
        <w:tc>
          <w:tcPr>
            <w:tcW w:w="3338" w:type="dxa"/>
          </w:tcPr>
          <w:p w14:paraId="5E18F56A">
            <w:pPr>
              <w:keepNext w:val="0"/>
              <w:keepLines w:val="0"/>
              <w:pageBreakBefore w:val="0"/>
              <w:widowControl w:val="0"/>
              <w:numPr>
                <w:ilvl w:val="12"/>
                <w:numId w:val="0"/>
              </w:numPr>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0%</w:t>
            </w:r>
          </w:p>
        </w:tc>
      </w:tr>
    </w:tbl>
    <w:p w14:paraId="6867A859">
      <w:pPr>
        <w:keepNext w:val="0"/>
        <w:keepLines w:val="0"/>
        <w:pageBreakBefore w:val="0"/>
        <w:widowControl w:val="0"/>
        <w:numPr>
          <w:ilvl w:val="0"/>
          <w:numId w:val="0"/>
        </w:numPr>
        <w:kinsoku/>
        <w:wordWrap/>
        <w:overflowPunct/>
        <w:topLinePunct w:val="0"/>
        <w:autoSpaceDE/>
        <w:autoSpaceDN/>
        <w:bidi w:val="0"/>
        <w:spacing w:line="540" w:lineRule="exact"/>
        <w:ind w:left="630" w:leftChars="0"/>
        <w:jc w:val="both"/>
        <w:textAlignment w:val="auto"/>
        <w:rPr>
          <w:rFonts w:hint="eastAsia" w:ascii="仿宋_GB2312" w:hAnsi="仿宋_GB2312" w:eastAsia="仿宋_GB2312" w:cs="仿宋_GB2312"/>
          <w:b w:val="0"/>
          <w:bCs w:val="0"/>
          <w:snapToGrid/>
          <w:color w:val="auto"/>
          <w:kern w:val="2"/>
          <w:sz w:val="32"/>
          <w:szCs w:val="32"/>
          <w:lang w:val="en-US" w:eastAsia="zh-CN"/>
        </w:rPr>
      </w:pPr>
      <w:r>
        <w:rPr>
          <w:rFonts w:hint="eastAsia" w:ascii="仿宋_GB2312" w:hAnsi="仿宋_GB2312" w:eastAsia="仿宋_GB2312" w:cs="仿宋_GB2312"/>
          <w:b w:val="0"/>
          <w:bCs w:val="0"/>
          <w:snapToGrid/>
          <w:color w:val="auto"/>
          <w:kern w:val="2"/>
          <w:sz w:val="32"/>
          <w:szCs w:val="32"/>
          <w:lang w:val="en-US" w:eastAsia="zh-CN"/>
        </w:rPr>
        <w:t>2.硕</w:t>
      </w:r>
      <w:r>
        <w:rPr>
          <w:rFonts w:hint="eastAsia" w:ascii="仿宋_GB2312" w:hAnsi="仿宋_GB2312" w:eastAsia="仿宋_GB2312" w:cs="仿宋_GB2312"/>
          <w:b w:val="0"/>
          <w:bCs w:val="0"/>
          <w:snapToGrid/>
          <w:color w:val="auto"/>
          <w:kern w:val="2"/>
          <w:sz w:val="32"/>
          <w:szCs w:val="32"/>
          <w:lang w:eastAsia="zh-CN"/>
        </w:rPr>
        <w:t>士</w:t>
      </w:r>
      <w:r>
        <w:rPr>
          <w:rFonts w:hint="eastAsia" w:ascii="仿宋_GB2312" w:hAnsi="仿宋_GB2312" w:eastAsia="仿宋_GB2312" w:cs="仿宋_GB2312"/>
          <w:b w:val="0"/>
          <w:bCs w:val="0"/>
          <w:snapToGrid/>
          <w:color w:val="auto"/>
          <w:kern w:val="2"/>
          <w:sz w:val="32"/>
          <w:szCs w:val="32"/>
          <w:lang w:val="en-US" w:eastAsia="zh-CN"/>
        </w:rPr>
        <w:t>其他年</w:t>
      </w:r>
      <w:r>
        <w:rPr>
          <w:rFonts w:hint="eastAsia" w:ascii="仿宋_GB2312" w:hAnsi="仿宋_GB2312" w:eastAsia="仿宋_GB2312" w:cs="仿宋_GB2312"/>
          <w:b w:val="0"/>
          <w:bCs w:val="0"/>
          <w:snapToGrid/>
          <w:color w:val="auto"/>
          <w:kern w:val="2"/>
          <w:sz w:val="32"/>
          <w:szCs w:val="32"/>
          <w:lang w:eastAsia="zh-CN"/>
        </w:rPr>
        <w:t>级学生</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2"/>
        <w:gridCol w:w="3037"/>
        <w:gridCol w:w="3353"/>
      </w:tblGrid>
      <w:tr w14:paraId="3C234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32" w:type="dxa"/>
          </w:tcPr>
          <w:p w14:paraId="2CED823F">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年级</w:t>
            </w:r>
          </w:p>
        </w:tc>
        <w:tc>
          <w:tcPr>
            <w:tcW w:w="3037" w:type="dxa"/>
          </w:tcPr>
          <w:p w14:paraId="2EAA7105">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 xml:space="preserve">  </w:t>
            </w:r>
            <w:r>
              <w:rPr>
                <w:rFonts w:hint="eastAsia" w:ascii="仿宋_GB2312" w:hAnsi="仿宋_GB2312" w:eastAsia="仿宋_GB2312" w:cs="仿宋_GB2312"/>
                <w:b w:val="0"/>
                <w:bCs w:val="0"/>
                <w:snapToGrid/>
                <w:color w:val="auto"/>
                <w:kern w:val="2"/>
                <w:sz w:val="32"/>
                <w:szCs w:val="32"/>
                <w:highlight w:val="none"/>
                <w:lang w:eastAsia="zh-CN"/>
              </w:rPr>
              <w:t xml:space="preserve"> </w:t>
            </w:r>
            <w:r>
              <w:rPr>
                <w:rFonts w:hint="eastAsia" w:ascii="仿宋_GB2312" w:hAnsi="仿宋_GB2312" w:eastAsia="仿宋_GB2312" w:cs="仿宋_GB2312"/>
                <w:b w:val="0"/>
                <w:bCs w:val="0"/>
                <w:snapToGrid/>
                <w:color w:val="auto"/>
                <w:kern w:val="2"/>
                <w:sz w:val="32"/>
                <w:szCs w:val="32"/>
                <w:highlight w:val="none"/>
                <w:lang w:val="en-US" w:eastAsia="zh-CN"/>
              </w:rPr>
              <w:t xml:space="preserve"> </w:t>
            </w:r>
            <w:r>
              <w:rPr>
                <w:rFonts w:hint="eastAsia" w:ascii="仿宋_GB2312" w:hAnsi="仿宋_GB2312" w:eastAsia="仿宋_GB2312" w:cs="仿宋_GB2312"/>
                <w:b w:val="0"/>
                <w:bCs w:val="0"/>
                <w:snapToGrid/>
                <w:color w:val="auto"/>
                <w:kern w:val="2"/>
                <w:sz w:val="32"/>
                <w:szCs w:val="32"/>
                <w:highlight w:val="none"/>
                <w:lang w:eastAsia="zh-CN"/>
              </w:rPr>
              <w:t>课业成绩</w:t>
            </w:r>
          </w:p>
        </w:tc>
        <w:tc>
          <w:tcPr>
            <w:tcW w:w="3353" w:type="dxa"/>
          </w:tcPr>
          <w:p w14:paraId="5BBEA741">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学术创新成果与综合拓展</w:t>
            </w:r>
          </w:p>
        </w:tc>
      </w:tr>
      <w:tr w14:paraId="5CF7A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shd w:val="clear" w:color="auto" w:fill="auto"/>
          </w:tcPr>
          <w:p w14:paraId="56C7CFE3">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二年级</w:t>
            </w:r>
          </w:p>
        </w:tc>
        <w:tc>
          <w:tcPr>
            <w:tcW w:w="3037" w:type="dxa"/>
            <w:shd w:val="clear" w:color="auto" w:fill="auto"/>
          </w:tcPr>
          <w:p w14:paraId="4A7F1893">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50%</w:t>
            </w:r>
          </w:p>
        </w:tc>
        <w:tc>
          <w:tcPr>
            <w:tcW w:w="3353" w:type="dxa"/>
            <w:shd w:val="clear" w:color="auto" w:fill="auto"/>
          </w:tcPr>
          <w:p w14:paraId="08DE8DEE">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50%</w:t>
            </w:r>
          </w:p>
        </w:tc>
      </w:tr>
      <w:tr w14:paraId="3DCBE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shd w:val="clear" w:color="auto" w:fill="auto"/>
          </w:tcPr>
          <w:p w14:paraId="23772F11">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三年级</w:t>
            </w:r>
          </w:p>
        </w:tc>
        <w:tc>
          <w:tcPr>
            <w:tcW w:w="3037" w:type="dxa"/>
            <w:shd w:val="clear" w:color="auto" w:fill="auto"/>
          </w:tcPr>
          <w:p w14:paraId="2E555B32">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10%</w:t>
            </w:r>
          </w:p>
        </w:tc>
        <w:tc>
          <w:tcPr>
            <w:tcW w:w="3353" w:type="dxa"/>
            <w:shd w:val="clear" w:color="auto" w:fill="auto"/>
          </w:tcPr>
          <w:p w14:paraId="1B985399">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90%</w:t>
            </w:r>
          </w:p>
        </w:tc>
      </w:tr>
    </w:tbl>
    <w:p w14:paraId="520B07FA">
      <w:pPr>
        <w:keepNext w:val="0"/>
        <w:keepLines w:val="0"/>
        <w:pageBreakBefore w:val="0"/>
        <w:widowControl w:val="0"/>
        <w:numPr>
          <w:ilvl w:val="0"/>
          <w:numId w:val="1"/>
        </w:numPr>
        <w:kinsoku/>
        <w:wordWrap/>
        <w:overflowPunct/>
        <w:topLinePunct w:val="0"/>
        <w:autoSpaceDE/>
        <w:autoSpaceDN/>
        <w:bidi w:val="0"/>
        <w:spacing w:line="540" w:lineRule="exact"/>
        <w:ind w:left="646"/>
        <w:jc w:val="both"/>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博士研究生</w:t>
      </w:r>
    </w:p>
    <w:p w14:paraId="0C3DE21B">
      <w:pPr>
        <w:keepNext w:val="0"/>
        <w:keepLines w:val="0"/>
        <w:pageBreakBefore w:val="0"/>
        <w:widowControl w:val="0"/>
        <w:numPr>
          <w:ilvl w:val="0"/>
          <w:numId w:val="0"/>
        </w:numPr>
        <w:kinsoku/>
        <w:wordWrap/>
        <w:overflowPunct/>
        <w:topLinePunct w:val="0"/>
        <w:autoSpaceDE/>
        <w:autoSpaceDN/>
        <w:bidi w:val="0"/>
        <w:spacing w:line="540" w:lineRule="exact"/>
        <w:ind w:left="630" w:leftChars="0"/>
        <w:jc w:val="both"/>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val="en-US" w:eastAsia="zh-CN"/>
        </w:rPr>
        <w:t>1.</w:t>
      </w:r>
      <w:r>
        <w:rPr>
          <w:rFonts w:hint="eastAsia" w:ascii="仿宋_GB2312" w:hAnsi="仿宋_GB2312" w:eastAsia="仿宋_GB2312" w:cs="仿宋_GB2312"/>
          <w:b w:val="0"/>
          <w:bCs w:val="0"/>
          <w:snapToGrid/>
          <w:color w:val="auto"/>
          <w:kern w:val="2"/>
          <w:sz w:val="32"/>
          <w:szCs w:val="32"/>
          <w:lang w:eastAsia="zh-CN"/>
        </w:rPr>
        <w:t>博士一年级学生</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4"/>
        <w:gridCol w:w="3015"/>
        <w:gridCol w:w="3353"/>
      </w:tblGrid>
      <w:tr w14:paraId="5DDDF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4" w:type="dxa"/>
          </w:tcPr>
          <w:p w14:paraId="3D17E8F2">
            <w:pPr>
              <w:keepNext w:val="0"/>
              <w:keepLines w:val="0"/>
              <w:pageBreakBefore w:val="0"/>
              <w:widowControl w:val="0"/>
              <w:numPr>
                <w:ilvl w:val="12"/>
                <w:numId w:val="0"/>
              </w:numPr>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kern w:val="2"/>
                <w:sz w:val="32"/>
                <w:szCs w:val="32"/>
                <w:lang w:eastAsia="zh-CN"/>
              </w:rPr>
            </w:pPr>
          </w:p>
        </w:tc>
        <w:tc>
          <w:tcPr>
            <w:tcW w:w="3015" w:type="dxa"/>
          </w:tcPr>
          <w:p w14:paraId="59505C29">
            <w:pPr>
              <w:keepNext w:val="0"/>
              <w:keepLines w:val="0"/>
              <w:pageBreakBefore w:val="0"/>
              <w:widowControl w:val="0"/>
              <w:numPr>
                <w:ilvl w:val="12"/>
                <w:numId w:val="0"/>
              </w:numPr>
              <w:kinsoku/>
              <w:wordWrap/>
              <w:overflowPunct/>
              <w:topLinePunct w:val="0"/>
              <w:autoSpaceDE/>
              <w:autoSpaceDN/>
              <w:bidi w:val="0"/>
              <w:spacing w:line="540" w:lineRule="exact"/>
              <w:ind w:firstLine="640" w:firstLineChars="200"/>
              <w:jc w:val="both"/>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入学成绩</w:t>
            </w:r>
          </w:p>
        </w:tc>
        <w:tc>
          <w:tcPr>
            <w:tcW w:w="3353" w:type="dxa"/>
          </w:tcPr>
          <w:p w14:paraId="7AEC7F56">
            <w:pPr>
              <w:keepNext w:val="0"/>
              <w:keepLines w:val="0"/>
              <w:pageBreakBefore w:val="0"/>
              <w:widowControl w:val="0"/>
              <w:numPr>
                <w:ilvl w:val="12"/>
                <w:numId w:val="0"/>
              </w:numPr>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学术创新成果</w:t>
            </w:r>
          </w:p>
        </w:tc>
      </w:tr>
      <w:tr w14:paraId="598B0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4" w:type="dxa"/>
          </w:tcPr>
          <w:p w14:paraId="2828E67E">
            <w:pPr>
              <w:keepNext w:val="0"/>
              <w:keepLines w:val="0"/>
              <w:pageBreakBefore w:val="0"/>
              <w:widowControl w:val="0"/>
              <w:numPr>
                <w:ilvl w:val="12"/>
                <w:numId w:val="0"/>
              </w:numPr>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比重</w:t>
            </w:r>
          </w:p>
        </w:tc>
        <w:tc>
          <w:tcPr>
            <w:tcW w:w="3015" w:type="dxa"/>
          </w:tcPr>
          <w:p w14:paraId="441F38E7">
            <w:pPr>
              <w:keepNext w:val="0"/>
              <w:keepLines w:val="0"/>
              <w:pageBreakBefore w:val="0"/>
              <w:widowControl w:val="0"/>
              <w:numPr>
                <w:ilvl w:val="12"/>
                <w:numId w:val="0"/>
              </w:numPr>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10%</w:t>
            </w:r>
          </w:p>
        </w:tc>
        <w:tc>
          <w:tcPr>
            <w:tcW w:w="3353" w:type="dxa"/>
          </w:tcPr>
          <w:p w14:paraId="7CD6DA8B">
            <w:pPr>
              <w:keepNext w:val="0"/>
              <w:keepLines w:val="0"/>
              <w:pageBreakBefore w:val="0"/>
              <w:widowControl w:val="0"/>
              <w:numPr>
                <w:ilvl w:val="12"/>
                <w:numId w:val="0"/>
              </w:numPr>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90%</w:t>
            </w:r>
          </w:p>
        </w:tc>
      </w:tr>
    </w:tbl>
    <w:p w14:paraId="1BE76877">
      <w:pPr>
        <w:keepNext w:val="0"/>
        <w:keepLines w:val="0"/>
        <w:pageBreakBefore w:val="0"/>
        <w:widowControl w:val="0"/>
        <w:numPr>
          <w:ilvl w:val="12"/>
          <w:numId w:val="0"/>
        </w:numPr>
        <w:kinsoku/>
        <w:wordWrap/>
        <w:overflowPunct/>
        <w:topLinePunct w:val="0"/>
        <w:autoSpaceDE/>
        <w:autoSpaceDN/>
        <w:bidi w:val="0"/>
        <w:spacing w:line="540" w:lineRule="exact"/>
        <w:ind w:left="646"/>
        <w:jc w:val="both"/>
        <w:textAlignment w:val="auto"/>
        <w:rPr>
          <w:rFonts w:hint="eastAsia" w:ascii="仿宋_GB2312" w:hAnsi="仿宋_GB2312" w:eastAsia="仿宋_GB2312" w:cs="仿宋_GB2312"/>
          <w:b w:val="0"/>
          <w:bCs w:val="0"/>
          <w:snapToGrid/>
          <w:color w:val="auto"/>
          <w:kern w:val="2"/>
          <w:sz w:val="32"/>
          <w:szCs w:val="32"/>
          <w:lang w:val="en-US" w:eastAsia="zh-CN"/>
        </w:rPr>
      </w:pPr>
    </w:p>
    <w:p w14:paraId="45397699">
      <w:pPr>
        <w:keepNext w:val="0"/>
        <w:keepLines w:val="0"/>
        <w:pageBreakBefore w:val="0"/>
        <w:widowControl w:val="0"/>
        <w:numPr>
          <w:ilvl w:val="12"/>
          <w:numId w:val="0"/>
        </w:numPr>
        <w:kinsoku/>
        <w:wordWrap/>
        <w:overflowPunct/>
        <w:topLinePunct w:val="0"/>
        <w:autoSpaceDE/>
        <w:autoSpaceDN/>
        <w:bidi w:val="0"/>
        <w:spacing w:line="540" w:lineRule="exact"/>
        <w:ind w:left="646"/>
        <w:jc w:val="both"/>
        <w:textAlignment w:val="auto"/>
        <w:rPr>
          <w:rFonts w:hint="default" w:ascii="仿宋_GB2312" w:hAnsi="仿宋_GB2312" w:eastAsia="仿宋_GB2312" w:cs="仿宋_GB2312"/>
          <w:b w:val="0"/>
          <w:bCs w:val="0"/>
          <w:snapToGrid/>
          <w:color w:val="auto"/>
          <w:kern w:val="2"/>
          <w:sz w:val="32"/>
          <w:szCs w:val="32"/>
          <w:lang w:val="en-US" w:eastAsia="zh-CN"/>
        </w:rPr>
      </w:pPr>
      <w:r>
        <w:rPr>
          <w:rFonts w:hint="eastAsia" w:ascii="仿宋_GB2312" w:hAnsi="仿宋_GB2312" w:eastAsia="仿宋_GB2312" w:cs="仿宋_GB2312"/>
          <w:b w:val="0"/>
          <w:bCs w:val="0"/>
          <w:snapToGrid/>
          <w:color w:val="auto"/>
          <w:kern w:val="2"/>
          <w:sz w:val="32"/>
          <w:szCs w:val="32"/>
          <w:lang w:val="en-US" w:eastAsia="zh-CN"/>
        </w:rPr>
        <w:t>2.</w:t>
      </w:r>
      <w:r>
        <w:rPr>
          <w:rFonts w:hint="eastAsia" w:ascii="仿宋_GB2312" w:hAnsi="仿宋_GB2312" w:eastAsia="仿宋_GB2312" w:cs="仿宋_GB2312"/>
          <w:b w:val="0"/>
          <w:bCs w:val="0"/>
          <w:snapToGrid/>
          <w:color w:val="auto"/>
          <w:kern w:val="2"/>
          <w:sz w:val="32"/>
          <w:szCs w:val="32"/>
          <w:lang w:eastAsia="zh-CN"/>
        </w:rPr>
        <w:t>博士其他年级</w:t>
      </w:r>
      <w:r>
        <w:rPr>
          <w:rFonts w:hint="eastAsia" w:ascii="仿宋_GB2312" w:hAnsi="仿宋_GB2312" w:eastAsia="仿宋_GB2312" w:cs="仿宋_GB2312"/>
          <w:b w:val="0"/>
          <w:bCs w:val="0"/>
          <w:snapToGrid/>
          <w:color w:val="auto"/>
          <w:kern w:val="2"/>
          <w:sz w:val="32"/>
          <w:szCs w:val="32"/>
          <w:lang w:val="en-US" w:eastAsia="zh-CN"/>
        </w:rPr>
        <w:t>学生</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5"/>
        <w:gridCol w:w="2388"/>
        <w:gridCol w:w="3389"/>
      </w:tblGrid>
      <w:tr w14:paraId="3652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5" w:type="dxa"/>
          </w:tcPr>
          <w:p w14:paraId="4887B754">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kern w:val="2"/>
                <w:sz w:val="32"/>
                <w:szCs w:val="32"/>
                <w:highlight w:val="none"/>
                <w:lang w:eastAsia="zh-CN"/>
              </w:rPr>
            </w:pPr>
            <w:r>
              <w:rPr>
                <w:rFonts w:hint="eastAsia" w:ascii="仿宋_GB2312" w:hAnsi="仿宋_GB2312" w:eastAsia="仿宋_GB2312" w:cs="仿宋_GB2312"/>
                <w:b w:val="0"/>
                <w:bCs w:val="0"/>
                <w:snapToGrid/>
                <w:color w:val="auto"/>
                <w:kern w:val="2"/>
                <w:sz w:val="32"/>
                <w:szCs w:val="32"/>
                <w:highlight w:val="none"/>
                <w:lang w:eastAsia="zh-CN"/>
              </w:rPr>
              <w:t>年级</w:t>
            </w:r>
          </w:p>
        </w:tc>
        <w:tc>
          <w:tcPr>
            <w:tcW w:w="2388" w:type="dxa"/>
          </w:tcPr>
          <w:p w14:paraId="1990F300">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kern w:val="2"/>
                <w:sz w:val="32"/>
                <w:szCs w:val="32"/>
                <w:highlight w:val="none"/>
                <w:lang w:eastAsia="zh-CN"/>
              </w:rPr>
            </w:pPr>
            <w:r>
              <w:rPr>
                <w:rFonts w:hint="eastAsia" w:ascii="仿宋_GB2312" w:hAnsi="仿宋_GB2312" w:eastAsia="仿宋_GB2312" w:cs="仿宋_GB2312"/>
                <w:b w:val="0"/>
                <w:bCs w:val="0"/>
                <w:snapToGrid/>
                <w:color w:val="auto"/>
                <w:kern w:val="2"/>
                <w:sz w:val="32"/>
                <w:szCs w:val="32"/>
                <w:highlight w:val="none"/>
                <w:lang w:eastAsia="zh-CN"/>
              </w:rPr>
              <w:t>课业成绩</w:t>
            </w:r>
          </w:p>
        </w:tc>
        <w:tc>
          <w:tcPr>
            <w:tcW w:w="3389" w:type="dxa"/>
          </w:tcPr>
          <w:p w14:paraId="68C70689">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 xml:space="preserve"> 学术创新成果与综合拓展</w:t>
            </w:r>
          </w:p>
        </w:tc>
      </w:tr>
      <w:tr w14:paraId="3EBF8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5" w:type="dxa"/>
            <w:shd w:val="clear" w:color="auto" w:fill="auto"/>
          </w:tcPr>
          <w:p w14:paraId="1E49E110">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二年级</w:t>
            </w:r>
          </w:p>
        </w:tc>
        <w:tc>
          <w:tcPr>
            <w:tcW w:w="2388" w:type="dxa"/>
            <w:shd w:val="clear" w:color="auto" w:fill="auto"/>
          </w:tcPr>
          <w:p w14:paraId="134BE0A2">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highlight w:val="none"/>
                <w:lang w:eastAsia="zh-CN"/>
              </w:rPr>
              <w:t>40%</w:t>
            </w:r>
          </w:p>
        </w:tc>
        <w:tc>
          <w:tcPr>
            <w:tcW w:w="3389" w:type="dxa"/>
            <w:shd w:val="clear" w:color="auto" w:fill="auto"/>
          </w:tcPr>
          <w:p w14:paraId="60F554B5">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60%</w:t>
            </w:r>
          </w:p>
        </w:tc>
      </w:tr>
      <w:tr w14:paraId="51F8A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5" w:type="dxa"/>
            <w:shd w:val="clear" w:color="auto" w:fill="auto"/>
          </w:tcPr>
          <w:p w14:paraId="54337707">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三年级</w:t>
            </w:r>
          </w:p>
        </w:tc>
        <w:tc>
          <w:tcPr>
            <w:tcW w:w="2388" w:type="dxa"/>
            <w:shd w:val="clear" w:color="auto" w:fill="auto"/>
          </w:tcPr>
          <w:p w14:paraId="556A2008">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5%</w:t>
            </w:r>
          </w:p>
        </w:tc>
        <w:tc>
          <w:tcPr>
            <w:tcW w:w="3389" w:type="dxa"/>
            <w:shd w:val="clear" w:color="auto" w:fill="auto"/>
          </w:tcPr>
          <w:p w14:paraId="635BC099">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95%</w:t>
            </w:r>
          </w:p>
        </w:tc>
      </w:tr>
      <w:tr w14:paraId="06C46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5" w:type="dxa"/>
          </w:tcPr>
          <w:p w14:paraId="4BBCCEDD">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四年级（以及</w:t>
            </w:r>
            <w:r>
              <w:rPr>
                <w:rFonts w:hint="eastAsia" w:ascii="仿宋_GB2312" w:hAnsi="仿宋_GB2312" w:eastAsia="仿宋_GB2312" w:cs="仿宋_GB2312"/>
                <w:b w:val="0"/>
                <w:bCs w:val="0"/>
                <w:snapToGrid/>
                <w:color w:val="auto"/>
                <w:kern w:val="2"/>
                <w:sz w:val="32"/>
                <w:szCs w:val="32"/>
                <w:lang w:val="en-US" w:eastAsia="zh-CN"/>
              </w:rPr>
              <w:t>直博生</w:t>
            </w:r>
            <w:r>
              <w:rPr>
                <w:rFonts w:hint="eastAsia" w:ascii="仿宋_GB2312" w:hAnsi="仿宋_GB2312" w:eastAsia="仿宋_GB2312" w:cs="仿宋_GB2312"/>
                <w:b w:val="0"/>
                <w:bCs w:val="0"/>
                <w:snapToGrid/>
                <w:color w:val="auto"/>
                <w:kern w:val="2"/>
                <w:sz w:val="32"/>
                <w:szCs w:val="32"/>
                <w:lang w:eastAsia="zh-CN"/>
              </w:rPr>
              <w:t>五年级）</w:t>
            </w:r>
          </w:p>
        </w:tc>
        <w:tc>
          <w:tcPr>
            <w:tcW w:w="2388" w:type="dxa"/>
          </w:tcPr>
          <w:p w14:paraId="2558D911">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0</w:t>
            </w:r>
          </w:p>
        </w:tc>
        <w:tc>
          <w:tcPr>
            <w:tcW w:w="3389" w:type="dxa"/>
          </w:tcPr>
          <w:p w14:paraId="5C8C206A">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100%</w:t>
            </w:r>
          </w:p>
        </w:tc>
      </w:tr>
    </w:tbl>
    <w:p w14:paraId="06FA702D">
      <w:pPr>
        <w:keepNext w:val="0"/>
        <w:keepLines w:val="0"/>
        <w:pageBreakBefore w:val="0"/>
        <w:widowControl w:val="0"/>
        <w:kinsoku/>
        <w:wordWrap/>
        <w:overflowPunct/>
        <w:topLinePunct w:val="0"/>
        <w:autoSpaceDE/>
        <w:autoSpaceDN/>
        <w:bidi w:val="0"/>
        <w:spacing w:line="540" w:lineRule="exact"/>
        <w:ind w:firstLine="640"/>
        <w:jc w:val="both"/>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说明：</w:t>
      </w:r>
    </w:p>
    <w:p w14:paraId="37D7FFD4">
      <w:pPr>
        <w:keepNext w:val="0"/>
        <w:keepLines w:val="0"/>
        <w:pageBreakBefore w:val="0"/>
        <w:widowControl w:val="0"/>
        <w:kinsoku/>
        <w:wordWrap/>
        <w:overflowPunct/>
        <w:topLinePunct w:val="0"/>
        <w:autoSpaceDE/>
        <w:autoSpaceDN/>
        <w:bidi w:val="0"/>
        <w:spacing w:line="540" w:lineRule="exact"/>
        <w:ind w:firstLine="640"/>
        <w:jc w:val="both"/>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w:t>
      </w:r>
      <w:r>
        <w:rPr>
          <w:rFonts w:hint="eastAsia" w:ascii="仿宋_GB2312" w:hAnsi="仿宋_GB2312" w:eastAsia="仿宋_GB2312" w:cs="仿宋_GB2312"/>
          <w:b w:val="0"/>
          <w:bCs w:val="0"/>
          <w:snapToGrid/>
          <w:color w:val="auto"/>
          <w:kern w:val="2"/>
          <w:sz w:val="32"/>
          <w:szCs w:val="32"/>
          <w:lang w:val="en-US" w:eastAsia="zh-CN"/>
        </w:rPr>
        <w:t>1</w:t>
      </w:r>
      <w:r>
        <w:rPr>
          <w:rFonts w:hint="eastAsia" w:ascii="仿宋_GB2312" w:hAnsi="仿宋_GB2312" w:eastAsia="仿宋_GB2312" w:cs="仿宋_GB2312"/>
          <w:b w:val="0"/>
          <w:bCs w:val="0"/>
          <w:snapToGrid/>
          <w:color w:val="auto"/>
          <w:kern w:val="2"/>
          <w:sz w:val="32"/>
          <w:szCs w:val="32"/>
          <w:lang w:eastAsia="zh-CN"/>
        </w:rPr>
        <w:t>）课业成绩为所修读的培养方案要求的课程成绩，</w:t>
      </w:r>
      <w:r>
        <w:rPr>
          <w:rFonts w:hint="eastAsia" w:ascii="仿宋_GB2312" w:hAnsi="仿宋_GB2312" w:eastAsia="仿宋_GB2312" w:cs="仿宋_GB2312"/>
          <w:b w:val="0"/>
          <w:bCs w:val="0"/>
          <w:snapToGrid/>
          <w:color w:val="auto"/>
          <w:kern w:val="2"/>
          <w:sz w:val="32"/>
          <w:szCs w:val="32"/>
          <w:lang w:val="en-US" w:eastAsia="zh-CN"/>
        </w:rPr>
        <w:t>按学</w:t>
      </w:r>
      <w:r>
        <w:rPr>
          <w:rFonts w:hint="eastAsia" w:ascii="仿宋_GB2312" w:hAnsi="仿宋_GB2312" w:eastAsia="仿宋_GB2312" w:cs="仿宋_GB2312"/>
          <w:b w:val="0"/>
          <w:bCs w:val="0"/>
          <w:snapToGrid/>
          <w:color w:val="auto"/>
          <w:kern w:val="2"/>
          <w:sz w:val="32"/>
          <w:szCs w:val="32"/>
          <w:highlight w:val="none"/>
          <w:lang w:val="en-US" w:eastAsia="zh-CN"/>
        </w:rPr>
        <w:t>分</w:t>
      </w:r>
      <w:r>
        <w:rPr>
          <w:rFonts w:hint="eastAsia" w:ascii="仿宋_GB2312" w:hAnsi="仿宋_GB2312" w:eastAsia="仿宋_GB2312" w:cs="仿宋_GB2312"/>
          <w:b w:val="0"/>
          <w:bCs w:val="0"/>
          <w:snapToGrid/>
          <w:color w:val="auto"/>
          <w:kern w:val="2"/>
          <w:sz w:val="32"/>
          <w:szCs w:val="32"/>
          <w:highlight w:val="none"/>
          <w:lang w:eastAsia="zh-CN"/>
        </w:rPr>
        <w:t>加权平均分计，</w:t>
      </w:r>
      <w:r>
        <w:rPr>
          <w:rFonts w:hint="eastAsia" w:ascii="仿宋_GB2312" w:hAnsi="仿宋_GB2312" w:eastAsia="仿宋_GB2312" w:cs="仿宋_GB2312"/>
          <w:b w:val="0"/>
          <w:bCs w:val="0"/>
          <w:snapToGrid/>
          <w:color w:val="auto"/>
          <w:kern w:val="2"/>
          <w:sz w:val="32"/>
          <w:szCs w:val="32"/>
          <w:highlight w:val="none"/>
          <w:lang w:val="en-US" w:eastAsia="zh-CN"/>
        </w:rPr>
        <w:t>课业成绩以当前评定时已修课程为</w:t>
      </w:r>
      <w:r>
        <w:rPr>
          <w:rFonts w:hint="eastAsia" w:ascii="仿宋_GB2312" w:hAnsi="仿宋_GB2312" w:eastAsia="仿宋_GB2312" w:cs="仿宋_GB2312"/>
          <w:b w:val="0"/>
          <w:bCs w:val="0"/>
          <w:snapToGrid/>
          <w:color w:val="auto"/>
          <w:kern w:val="2"/>
          <w:sz w:val="32"/>
          <w:szCs w:val="32"/>
          <w:highlight w:val="none"/>
          <w:lang w:eastAsia="zh-CN"/>
        </w:rPr>
        <w:t>计算依据；</w:t>
      </w:r>
      <w:r>
        <w:rPr>
          <w:rFonts w:hint="eastAsia" w:ascii="仿宋_GB2312" w:hAnsi="仿宋_GB2312" w:eastAsia="仿宋_GB2312" w:cs="仿宋_GB2312"/>
          <w:b w:val="0"/>
          <w:bCs w:val="0"/>
          <w:snapToGrid/>
          <w:color w:val="auto"/>
          <w:kern w:val="2"/>
          <w:sz w:val="32"/>
          <w:szCs w:val="32"/>
          <w:lang w:eastAsia="zh-CN"/>
        </w:rPr>
        <w:t>入学成绩为推免生录取成绩或硕士研究生入学总成绩（初试+复试）、申请-考核制博士研究生考核总成绩。</w:t>
      </w:r>
    </w:p>
    <w:p w14:paraId="747E4AB1">
      <w:pPr>
        <w:keepNext w:val="0"/>
        <w:keepLines w:val="0"/>
        <w:pageBreakBefore w:val="0"/>
        <w:widowControl w:val="0"/>
        <w:numPr>
          <w:ilvl w:val="0"/>
          <w:numId w:val="0"/>
        </w:numPr>
        <w:kinsoku/>
        <w:wordWrap/>
        <w:overflowPunct/>
        <w:topLinePunct w:val="0"/>
        <w:autoSpaceDE/>
        <w:autoSpaceDN/>
        <w:bidi w:val="0"/>
        <w:spacing w:line="540" w:lineRule="exact"/>
        <w:ind w:firstLine="640" w:firstLineChars="200"/>
        <w:jc w:val="both"/>
        <w:textAlignment w:val="auto"/>
        <w:rPr>
          <w:rFonts w:hint="eastAsia" w:ascii="仿宋_GB2312" w:hAnsi="仿宋_GB2312" w:eastAsia="仿宋_GB2312" w:cs="仿宋_GB2312"/>
          <w:b w:val="0"/>
          <w:bCs w:val="0"/>
          <w:snapToGrid/>
          <w:color w:val="auto"/>
          <w:kern w:val="2"/>
          <w:sz w:val="32"/>
          <w:szCs w:val="32"/>
          <w:highlight w:val="none"/>
          <w:lang w:eastAsia="zh-CN"/>
        </w:rPr>
      </w:pPr>
      <w:r>
        <w:rPr>
          <w:rFonts w:hint="eastAsia" w:ascii="仿宋_GB2312" w:hAnsi="仿宋_GB2312" w:eastAsia="仿宋_GB2312" w:cs="仿宋_GB2312"/>
          <w:b w:val="0"/>
          <w:bCs w:val="0"/>
          <w:snapToGrid/>
          <w:color w:val="auto"/>
          <w:kern w:val="2"/>
          <w:sz w:val="32"/>
          <w:szCs w:val="32"/>
          <w:highlight w:val="none"/>
          <w:lang w:eastAsia="zh-CN"/>
        </w:rPr>
        <w:t>（</w:t>
      </w:r>
      <w:r>
        <w:rPr>
          <w:rFonts w:hint="eastAsia" w:ascii="仿宋_GB2312" w:hAnsi="仿宋_GB2312" w:eastAsia="仿宋_GB2312" w:cs="仿宋_GB2312"/>
          <w:b w:val="0"/>
          <w:bCs w:val="0"/>
          <w:snapToGrid/>
          <w:color w:val="auto"/>
          <w:kern w:val="2"/>
          <w:sz w:val="32"/>
          <w:szCs w:val="32"/>
          <w:highlight w:val="none"/>
          <w:lang w:val="en-US" w:eastAsia="zh-CN"/>
        </w:rPr>
        <w:t>2</w:t>
      </w:r>
      <w:r>
        <w:rPr>
          <w:rFonts w:hint="eastAsia" w:ascii="仿宋_GB2312" w:hAnsi="仿宋_GB2312" w:eastAsia="仿宋_GB2312" w:cs="仿宋_GB2312"/>
          <w:b w:val="0"/>
          <w:bCs w:val="0"/>
          <w:snapToGrid/>
          <w:color w:val="auto"/>
          <w:kern w:val="2"/>
          <w:sz w:val="32"/>
          <w:szCs w:val="32"/>
          <w:highlight w:val="none"/>
          <w:lang w:eastAsia="zh-CN"/>
        </w:rPr>
        <w:t>）学术创新成果为</w:t>
      </w:r>
      <w:r>
        <w:rPr>
          <w:rFonts w:hint="eastAsia" w:ascii="仿宋_GB2312" w:hAnsi="仿宋_GB2312" w:eastAsia="仿宋_GB2312" w:cs="仿宋_GB2312"/>
          <w:b w:val="0"/>
          <w:bCs w:val="0"/>
          <w:snapToGrid/>
          <w:color w:val="auto"/>
          <w:sz w:val="32"/>
          <w:szCs w:val="32"/>
          <w:highlight w:val="none"/>
          <w:lang w:eastAsia="zh-CN"/>
        </w:rPr>
        <w:t>《土木工程学院学术学位研究生学位标准及成果规定》《土木水利硕博士学位标准及成果规定》</w:t>
      </w:r>
      <w:r>
        <w:rPr>
          <w:rFonts w:hint="eastAsia" w:ascii="仿宋_GB2312" w:hAnsi="仿宋_GB2312" w:eastAsia="仿宋_GB2312" w:cs="仿宋_GB2312"/>
          <w:b w:val="0"/>
          <w:bCs w:val="0"/>
          <w:snapToGrid/>
          <w:color w:val="auto"/>
          <w:kern w:val="2"/>
          <w:sz w:val="32"/>
          <w:szCs w:val="32"/>
          <w:highlight w:val="none"/>
          <w:lang w:eastAsia="zh-CN"/>
        </w:rPr>
        <w:t>认可的各类学术成果；</w:t>
      </w:r>
    </w:p>
    <w:p w14:paraId="2C0470F9">
      <w:pPr>
        <w:keepNext w:val="0"/>
        <w:keepLines w:val="0"/>
        <w:pageBreakBefore w:val="0"/>
        <w:wordWrap/>
        <w:overflowPunct/>
        <w:topLinePunct w:val="0"/>
        <w:bidi w:val="0"/>
        <w:spacing w:line="540" w:lineRule="exact"/>
        <w:ind w:firstLine="640" w:firstLineChars="200"/>
        <w:jc w:val="both"/>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highlight w:val="none"/>
          <w:lang w:eastAsia="zh-CN"/>
        </w:rPr>
        <w:t>（</w:t>
      </w:r>
      <w:r>
        <w:rPr>
          <w:rFonts w:hint="eastAsia" w:ascii="仿宋_GB2312" w:hAnsi="仿宋_GB2312" w:eastAsia="仿宋_GB2312" w:cs="仿宋_GB2312"/>
          <w:b w:val="0"/>
          <w:bCs w:val="0"/>
          <w:snapToGrid/>
          <w:color w:val="auto"/>
          <w:sz w:val="32"/>
          <w:szCs w:val="32"/>
          <w:highlight w:val="none"/>
          <w:lang w:val="en-US" w:eastAsia="zh-CN"/>
        </w:rPr>
        <w:t>3</w:t>
      </w:r>
      <w:r>
        <w:rPr>
          <w:rFonts w:hint="eastAsia" w:ascii="仿宋_GB2312" w:hAnsi="仿宋_GB2312" w:eastAsia="仿宋_GB2312" w:cs="仿宋_GB2312"/>
          <w:b w:val="0"/>
          <w:bCs w:val="0"/>
          <w:snapToGrid/>
          <w:color w:val="auto"/>
          <w:sz w:val="32"/>
          <w:szCs w:val="32"/>
          <w:highlight w:val="none"/>
          <w:lang w:eastAsia="zh-CN"/>
        </w:rPr>
        <w:t>）学术成果的完成单位要求参照《土木工程学院学术学位研究生学位标准及成果规定》《土木水利硕博士学位标准及成果规定》。</w:t>
      </w:r>
    </w:p>
    <w:p w14:paraId="416EBFEC">
      <w:pPr>
        <w:keepNext w:val="0"/>
        <w:keepLines w:val="0"/>
        <w:pageBreakBefore w:val="0"/>
        <w:wordWrap/>
        <w:overflowPunct/>
        <w:topLinePunct w:val="0"/>
        <w:bidi w:val="0"/>
        <w:spacing w:line="540" w:lineRule="exact"/>
        <w:ind w:firstLine="640" w:firstLineChars="200"/>
        <w:jc w:val="both"/>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4</w:t>
      </w:r>
      <w:r>
        <w:rPr>
          <w:rFonts w:hint="eastAsia" w:ascii="仿宋_GB2312" w:hAnsi="仿宋_GB2312" w:eastAsia="仿宋_GB2312" w:cs="仿宋_GB2312"/>
          <w:b w:val="0"/>
          <w:bCs w:val="0"/>
          <w:snapToGrid/>
          <w:color w:val="auto"/>
          <w:sz w:val="32"/>
          <w:szCs w:val="32"/>
          <w:lang w:eastAsia="zh-CN"/>
        </w:rPr>
        <w:t>）申请-考核制博士新生的综合测评成绩中的学术创新成果采用代表作制度，使用5个以内（</w:t>
      </w:r>
      <w:r>
        <w:rPr>
          <w:rFonts w:hint="eastAsia" w:ascii="仿宋_GB2312" w:hAnsi="仿宋_GB2312" w:eastAsia="仿宋_GB2312" w:cs="仿宋_GB2312"/>
          <w:b w:val="0"/>
          <w:bCs w:val="0"/>
          <w:snapToGrid/>
          <w:color w:val="auto"/>
          <w:sz w:val="32"/>
          <w:szCs w:val="32"/>
          <w:lang w:val="en-US" w:eastAsia="zh-CN"/>
        </w:rPr>
        <w:t>含5个</w:t>
      </w:r>
      <w:r>
        <w:rPr>
          <w:rFonts w:hint="eastAsia" w:ascii="仿宋_GB2312" w:hAnsi="仿宋_GB2312" w:eastAsia="仿宋_GB2312" w:cs="仿宋_GB2312"/>
          <w:b w:val="0"/>
          <w:bCs w:val="0"/>
          <w:snapToGrid/>
          <w:color w:val="auto"/>
          <w:sz w:val="32"/>
          <w:szCs w:val="32"/>
          <w:lang w:eastAsia="zh-CN"/>
        </w:rPr>
        <w:t>）代表作参加评审，学术创新成果为博士入学前</w:t>
      </w:r>
      <w:r>
        <w:rPr>
          <w:rFonts w:hint="eastAsia" w:ascii="仿宋_GB2312" w:hAnsi="仿宋_GB2312" w:eastAsia="仿宋_GB2312" w:cs="仿宋_GB2312"/>
          <w:b w:val="0"/>
          <w:bCs w:val="0"/>
          <w:snapToGrid/>
          <w:color w:val="auto"/>
          <w:sz w:val="32"/>
          <w:szCs w:val="32"/>
          <w:highlight w:val="none"/>
          <w:lang w:eastAsia="zh-CN"/>
        </w:rPr>
        <w:t>发表</w:t>
      </w:r>
      <w:r>
        <w:rPr>
          <w:rFonts w:hint="eastAsia" w:ascii="仿宋_GB2312" w:hAnsi="仿宋_GB2312" w:eastAsia="仿宋_GB2312" w:cs="仿宋_GB2312"/>
          <w:b w:val="0"/>
          <w:bCs w:val="0"/>
          <w:snapToGrid/>
          <w:color w:val="auto"/>
          <w:sz w:val="32"/>
          <w:szCs w:val="32"/>
          <w:highlight w:val="none"/>
          <w:lang w:val="en-US" w:eastAsia="zh-CN"/>
        </w:rPr>
        <w:t>的</w:t>
      </w:r>
      <w:r>
        <w:rPr>
          <w:rFonts w:hint="eastAsia" w:ascii="仿宋_GB2312" w:hAnsi="仿宋_GB2312" w:eastAsia="仿宋_GB2312" w:cs="仿宋_GB2312"/>
          <w:b w:val="0"/>
          <w:bCs w:val="0"/>
          <w:snapToGrid/>
          <w:color w:val="auto"/>
          <w:sz w:val="32"/>
          <w:szCs w:val="32"/>
          <w:highlight w:val="none"/>
          <w:lang w:eastAsia="zh-CN"/>
        </w:rPr>
        <w:t>学术成果</w:t>
      </w:r>
      <w:r>
        <w:rPr>
          <w:rFonts w:hint="eastAsia" w:ascii="仿宋_GB2312" w:hAnsi="仿宋_GB2312" w:eastAsia="仿宋_GB2312" w:cs="仿宋_GB2312"/>
          <w:b w:val="0"/>
          <w:bCs w:val="0"/>
          <w:snapToGrid/>
          <w:color w:val="auto"/>
          <w:sz w:val="32"/>
          <w:szCs w:val="32"/>
          <w:lang w:eastAsia="zh-CN"/>
        </w:rPr>
        <w:t>，成果要求、赋分及作者排名参考本标准第</w:t>
      </w:r>
      <w:r>
        <w:rPr>
          <w:rFonts w:hint="eastAsia" w:ascii="仿宋_GB2312" w:hAnsi="仿宋_GB2312" w:eastAsia="仿宋_GB2312" w:cs="仿宋_GB2312"/>
          <w:b w:val="0"/>
          <w:bCs w:val="0"/>
          <w:snapToGrid/>
          <w:color w:val="auto"/>
          <w:sz w:val="32"/>
          <w:szCs w:val="32"/>
          <w:lang w:val="en-US" w:eastAsia="zh-CN"/>
        </w:rPr>
        <w:t>三</w:t>
      </w:r>
      <w:r>
        <w:rPr>
          <w:rFonts w:hint="eastAsia" w:ascii="仿宋_GB2312" w:hAnsi="仿宋_GB2312" w:eastAsia="仿宋_GB2312" w:cs="仿宋_GB2312"/>
          <w:b w:val="0"/>
          <w:bCs w:val="0"/>
          <w:snapToGrid/>
          <w:color w:val="auto"/>
          <w:sz w:val="32"/>
          <w:szCs w:val="32"/>
          <w:lang w:eastAsia="zh-CN"/>
        </w:rPr>
        <w:t>章，成果署名单位为硕士就读学校或入学前工作单位。</w:t>
      </w:r>
    </w:p>
    <w:p w14:paraId="7857DE4B">
      <w:pPr>
        <w:keepNext w:val="0"/>
        <w:keepLines w:val="0"/>
        <w:pageBreakBefore w:val="0"/>
        <w:widowControl w:val="0"/>
        <w:kinsoku/>
        <w:wordWrap/>
        <w:overflowPunct/>
        <w:topLinePunct w:val="0"/>
        <w:autoSpaceDE/>
        <w:autoSpaceDN/>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5</w:t>
      </w:r>
      <w:r>
        <w:rPr>
          <w:rFonts w:hint="eastAsia" w:ascii="仿宋_GB2312" w:hAnsi="仿宋_GB2312" w:eastAsia="仿宋_GB2312" w:cs="仿宋_GB2312"/>
          <w:b w:val="0"/>
          <w:bCs w:val="0"/>
          <w:snapToGrid/>
          <w:color w:val="auto"/>
          <w:sz w:val="32"/>
          <w:szCs w:val="32"/>
          <w:lang w:eastAsia="zh-CN"/>
        </w:rPr>
        <w:t>）综合拓展包含各类专业竞赛、文体竞赛、学术会议，学生工作任职，各级政府部门、党团组织和学校学院开展的各类评优、志愿服务等。</w:t>
      </w:r>
    </w:p>
    <w:p w14:paraId="377122F8">
      <w:pPr>
        <w:keepNext w:val="0"/>
        <w:keepLines w:val="0"/>
        <w:pageBreakBefore w:val="0"/>
        <w:kinsoku/>
        <w:wordWrap/>
        <w:overflowPunct/>
        <w:topLinePunct w:val="0"/>
        <w:autoSpaceDE/>
        <w:autoSpaceDN/>
        <w:bidi w:val="0"/>
        <w:spacing w:line="540" w:lineRule="exact"/>
        <w:ind w:firstLine="0"/>
        <w:jc w:val="center"/>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黑体" w:hAnsi="黑体" w:eastAsia="黑体" w:cs="黑体"/>
          <w:b w:val="0"/>
          <w:bCs w:val="0"/>
          <w:snapToGrid/>
          <w:color w:val="auto"/>
          <w:sz w:val="32"/>
          <w:szCs w:val="32"/>
          <w:lang w:eastAsia="zh-CN"/>
        </w:rPr>
        <w:t xml:space="preserve"> </w:t>
      </w:r>
      <w:r>
        <w:rPr>
          <w:rFonts w:hint="eastAsia" w:ascii="黑体" w:hAnsi="黑体" w:eastAsia="黑体" w:cs="黑体"/>
          <w:b w:val="0"/>
          <w:bCs w:val="0"/>
          <w:snapToGrid/>
          <w:color w:val="auto"/>
          <w:sz w:val="32"/>
          <w:szCs w:val="32"/>
          <w:lang w:val="en-US" w:eastAsia="zh-CN"/>
        </w:rPr>
        <w:t xml:space="preserve">第二章 </w:t>
      </w:r>
      <w:r>
        <w:rPr>
          <w:rFonts w:hint="eastAsia" w:ascii="黑体" w:hAnsi="黑体" w:eastAsia="黑体" w:cs="黑体"/>
          <w:b w:val="0"/>
          <w:bCs w:val="0"/>
          <w:snapToGrid/>
          <w:color w:val="auto"/>
          <w:sz w:val="32"/>
          <w:szCs w:val="32"/>
          <w:lang w:eastAsia="zh-CN"/>
        </w:rPr>
        <w:t>思想政治和道德品行要求</w:t>
      </w:r>
    </w:p>
    <w:p w14:paraId="0362D3A0">
      <w:pPr>
        <w:keepNext w:val="0"/>
        <w:keepLines w:val="0"/>
        <w:pageBreakBefore w:val="0"/>
        <w:kinsoku/>
        <w:wordWrap/>
        <w:overflowPunct/>
        <w:topLinePunct w:val="0"/>
        <w:bidi w:val="0"/>
        <w:spacing w:line="540" w:lineRule="exact"/>
        <w:ind w:firstLine="643"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bCs/>
          <w:snapToGrid/>
          <w:color w:val="auto"/>
          <w:sz w:val="32"/>
          <w:szCs w:val="32"/>
          <w:lang w:val="en-US" w:eastAsia="zh-CN"/>
        </w:rPr>
        <w:t>第四条</w:t>
      </w:r>
      <w:r>
        <w:rPr>
          <w:rFonts w:hint="eastAsia" w:ascii="仿宋_GB2312" w:hAnsi="仿宋_GB2312" w:eastAsia="仿宋_GB2312" w:cs="仿宋_GB2312"/>
          <w:b w:val="0"/>
          <w:bCs w:val="0"/>
          <w:snapToGrid/>
          <w:color w:val="auto"/>
          <w:sz w:val="32"/>
          <w:szCs w:val="32"/>
          <w:highlight w:val="none"/>
          <w:lang w:eastAsia="zh-CN"/>
        </w:rPr>
        <w:t xml:space="preserve"> 受到学院通报批评的研究生，将扣除综合拓展第</w:t>
      </w:r>
      <w:r>
        <w:rPr>
          <w:rFonts w:hint="eastAsia" w:ascii="仿宋_GB2312" w:hAnsi="仿宋_GB2312" w:eastAsia="仿宋_GB2312" w:cs="仿宋_GB2312"/>
          <w:b w:val="0"/>
          <w:bCs w:val="0"/>
          <w:snapToGrid/>
          <w:color w:val="auto"/>
          <w:sz w:val="32"/>
          <w:szCs w:val="32"/>
          <w:highlight w:val="none"/>
          <w:lang w:val="en-US" w:eastAsia="zh-CN"/>
        </w:rPr>
        <w:t>十二</w:t>
      </w:r>
      <w:r>
        <w:rPr>
          <w:rFonts w:hint="eastAsia" w:ascii="仿宋_GB2312" w:hAnsi="仿宋_GB2312" w:eastAsia="仿宋_GB2312" w:cs="仿宋_GB2312"/>
          <w:b w:val="0"/>
          <w:bCs w:val="0"/>
          <w:snapToGrid/>
          <w:color w:val="auto"/>
          <w:sz w:val="32"/>
          <w:szCs w:val="32"/>
          <w:highlight w:val="none"/>
          <w:lang w:eastAsia="zh-CN"/>
        </w:rPr>
        <w:t>、</w:t>
      </w:r>
      <w:r>
        <w:rPr>
          <w:rFonts w:hint="eastAsia" w:ascii="仿宋_GB2312" w:hAnsi="仿宋_GB2312" w:eastAsia="仿宋_GB2312" w:cs="仿宋_GB2312"/>
          <w:b w:val="0"/>
          <w:bCs w:val="0"/>
          <w:snapToGrid/>
          <w:color w:val="auto"/>
          <w:sz w:val="32"/>
          <w:szCs w:val="32"/>
          <w:highlight w:val="none"/>
          <w:lang w:val="en-US" w:eastAsia="zh-CN"/>
        </w:rPr>
        <w:t>十三条、十四条对应</w:t>
      </w:r>
      <w:r>
        <w:rPr>
          <w:rFonts w:hint="eastAsia" w:ascii="仿宋_GB2312" w:hAnsi="仿宋_GB2312" w:eastAsia="仿宋_GB2312" w:cs="仿宋_GB2312"/>
          <w:b w:val="0"/>
          <w:bCs w:val="0"/>
          <w:snapToGrid/>
          <w:color w:val="auto"/>
          <w:sz w:val="32"/>
          <w:szCs w:val="32"/>
          <w:highlight w:val="none"/>
          <w:lang w:eastAsia="zh-CN"/>
        </w:rPr>
        <w:t>的</w:t>
      </w:r>
      <w:r>
        <w:rPr>
          <w:rFonts w:hint="eastAsia" w:ascii="仿宋_GB2312" w:hAnsi="仿宋_GB2312" w:eastAsia="仿宋_GB2312" w:cs="仿宋_GB2312"/>
          <w:b w:val="0"/>
          <w:bCs w:val="0"/>
          <w:snapToGrid/>
          <w:color w:val="auto"/>
          <w:sz w:val="32"/>
          <w:szCs w:val="32"/>
          <w:highlight w:val="none"/>
          <w:lang w:val="en-US" w:eastAsia="zh-CN"/>
        </w:rPr>
        <w:t>分数</w:t>
      </w:r>
      <w:r>
        <w:rPr>
          <w:rFonts w:hint="eastAsia" w:ascii="仿宋_GB2312" w:hAnsi="仿宋_GB2312" w:eastAsia="仿宋_GB2312" w:cs="仿宋_GB2312"/>
          <w:b w:val="0"/>
          <w:bCs w:val="0"/>
          <w:snapToGrid/>
          <w:color w:val="auto"/>
          <w:sz w:val="32"/>
          <w:szCs w:val="32"/>
          <w:highlight w:val="none"/>
          <w:lang w:eastAsia="zh-CN"/>
        </w:rPr>
        <w:t>，</w:t>
      </w:r>
      <w:r>
        <w:rPr>
          <w:rFonts w:hint="eastAsia" w:ascii="仿宋_GB2312" w:hAnsi="仿宋_GB2312" w:eastAsia="仿宋_GB2312" w:cs="仿宋_GB2312"/>
          <w:b w:val="0"/>
          <w:bCs w:val="0"/>
          <w:snapToGrid/>
          <w:color w:val="auto"/>
          <w:sz w:val="32"/>
          <w:szCs w:val="32"/>
          <w:highlight w:val="none"/>
          <w:lang w:val="en-US" w:eastAsia="zh-CN"/>
        </w:rPr>
        <w:t>具体</w:t>
      </w:r>
      <w:r>
        <w:rPr>
          <w:rFonts w:hint="eastAsia" w:ascii="仿宋_GB2312" w:hAnsi="仿宋_GB2312" w:eastAsia="仿宋_GB2312" w:cs="仿宋_GB2312"/>
          <w:b w:val="0"/>
          <w:bCs w:val="0"/>
          <w:snapToGrid/>
          <w:color w:val="auto"/>
          <w:sz w:val="32"/>
          <w:szCs w:val="32"/>
          <w:highlight w:val="none"/>
          <w:lang w:eastAsia="zh-CN"/>
        </w:rPr>
        <w:t>结合学院相关处理结果由学院研究生奖助金评审委员会审议。</w:t>
      </w:r>
    </w:p>
    <w:p w14:paraId="71CEA8C8">
      <w:pPr>
        <w:keepNext w:val="0"/>
        <w:keepLines w:val="0"/>
        <w:pageBreakBefore w:val="0"/>
        <w:kinsoku/>
        <w:wordWrap/>
        <w:overflowPunct/>
        <w:topLinePunct w:val="0"/>
        <w:autoSpaceDE/>
        <w:autoSpaceDN/>
        <w:bidi w:val="0"/>
        <w:spacing w:line="540" w:lineRule="exact"/>
        <w:ind w:firstLine="0"/>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黑体" w:hAnsi="黑体" w:eastAsia="黑体" w:cs="黑体"/>
          <w:b w:val="0"/>
          <w:bCs w:val="0"/>
          <w:snapToGrid/>
          <w:color w:val="auto"/>
          <w:sz w:val="32"/>
          <w:szCs w:val="32"/>
          <w:lang w:val="en-US" w:eastAsia="zh-CN"/>
        </w:rPr>
        <w:t xml:space="preserve">第三章 </w:t>
      </w:r>
      <w:r>
        <w:rPr>
          <w:rFonts w:hint="eastAsia" w:ascii="黑体" w:hAnsi="黑体" w:eastAsia="黑体" w:cs="黑体"/>
          <w:b w:val="0"/>
          <w:bCs w:val="0"/>
          <w:snapToGrid/>
          <w:color w:val="auto"/>
          <w:sz w:val="32"/>
          <w:szCs w:val="32"/>
          <w:lang w:eastAsia="zh-CN"/>
        </w:rPr>
        <w:t>学术成果加分</w:t>
      </w:r>
    </w:p>
    <w:p w14:paraId="202DFC24">
      <w:pPr>
        <w:keepNext w:val="0"/>
        <w:keepLines w:val="0"/>
        <w:pageBreakBefore w:val="0"/>
        <w:kinsoku/>
        <w:wordWrap/>
        <w:overflowPunct/>
        <w:topLinePunct w:val="0"/>
        <w:bidi w:val="0"/>
        <w:spacing w:line="540" w:lineRule="exact"/>
        <w:ind w:firstLine="643"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bCs/>
          <w:snapToGrid/>
          <w:color w:val="auto"/>
          <w:sz w:val="32"/>
          <w:szCs w:val="32"/>
          <w:lang w:val="en-US" w:eastAsia="zh-CN"/>
        </w:rPr>
        <w:t>第五条</w:t>
      </w:r>
      <w:r>
        <w:rPr>
          <w:rFonts w:hint="eastAsia" w:ascii="仿宋_GB2312" w:hAnsi="仿宋_GB2312" w:eastAsia="仿宋_GB2312" w:cs="仿宋_GB2312"/>
          <w:b w:val="0"/>
          <w:bCs w:val="0"/>
          <w:snapToGrid/>
          <w:color w:val="auto"/>
          <w:sz w:val="32"/>
          <w:szCs w:val="32"/>
          <w:lang w:val="en-US" w:eastAsia="zh-CN"/>
        </w:rPr>
        <w:t xml:space="preserve"> </w:t>
      </w:r>
      <w:r>
        <w:rPr>
          <w:rFonts w:hint="eastAsia" w:ascii="仿宋_GB2312" w:hAnsi="仿宋_GB2312" w:eastAsia="仿宋_GB2312" w:cs="仿宋_GB2312"/>
          <w:b w:val="0"/>
          <w:bCs w:val="0"/>
          <w:snapToGrid/>
          <w:color w:val="auto"/>
          <w:sz w:val="32"/>
          <w:szCs w:val="32"/>
          <w:lang w:eastAsia="zh-CN"/>
        </w:rPr>
        <w:t>学术论文加分</w:t>
      </w:r>
    </w:p>
    <w:tbl>
      <w:tblPr>
        <w:tblStyle w:val="8"/>
        <w:tblW w:w="9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1"/>
        <w:gridCol w:w="2518"/>
        <w:gridCol w:w="2783"/>
      </w:tblGrid>
      <w:tr w14:paraId="6C0EC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1" w:type="dxa"/>
          </w:tcPr>
          <w:p w14:paraId="1F2EBD48">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加分类别</w:t>
            </w:r>
          </w:p>
        </w:tc>
        <w:tc>
          <w:tcPr>
            <w:tcW w:w="2518" w:type="dxa"/>
          </w:tcPr>
          <w:p w14:paraId="5F204294">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分值</w:t>
            </w:r>
          </w:p>
        </w:tc>
        <w:tc>
          <w:tcPr>
            <w:tcW w:w="2783" w:type="dxa"/>
          </w:tcPr>
          <w:p w14:paraId="73A71648">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备注</w:t>
            </w:r>
          </w:p>
        </w:tc>
      </w:tr>
      <w:tr w14:paraId="099F7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241" w:type="dxa"/>
            <w:vAlign w:val="center"/>
          </w:tcPr>
          <w:p w14:paraId="0DB3688D">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SCIENCE、NATURE期刊</w:t>
            </w:r>
          </w:p>
        </w:tc>
        <w:tc>
          <w:tcPr>
            <w:tcW w:w="2518" w:type="dxa"/>
            <w:vAlign w:val="center"/>
          </w:tcPr>
          <w:p w14:paraId="36BE9368">
            <w:pPr>
              <w:keepNext w:val="0"/>
              <w:keepLines w:val="0"/>
              <w:pageBreakBefore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600分/篇</w:t>
            </w:r>
          </w:p>
        </w:tc>
        <w:tc>
          <w:tcPr>
            <w:tcW w:w="2783" w:type="dxa"/>
            <w:vMerge w:val="restart"/>
            <w:vAlign w:val="center"/>
          </w:tcPr>
          <w:p w14:paraId="4829E0BC">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对于nature子刊，Nature xxx</w:t>
            </w:r>
            <w:r>
              <w:rPr>
                <w:rFonts w:hint="eastAsia" w:ascii="仿宋_GB2312" w:hAnsi="仿宋_GB2312" w:eastAsia="仿宋_GB2312" w:cs="仿宋_GB2312"/>
                <w:b w:val="0"/>
                <w:bCs w:val="0"/>
                <w:snapToGrid/>
                <w:color w:val="auto"/>
                <w:sz w:val="32"/>
                <w:szCs w:val="32"/>
                <w:lang w:val="en-US" w:eastAsia="zh-CN"/>
              </w:rPr>
              <w:t>系列</w:t>
            </w:r>
            <w:r>
              <w:rPr>
                <w:rFonts w:hint="eastAsia" w:ascii="仿宋_GB2312" w:hAnsi="仿宋_GB2312" w:eastAsia="仿宋_GB2312" w:cs="仿宋_GB2312"/>
                <w:b w:val="0"/>
                <w:bCs w:val="0"/>
                <w:snapToGrid/>
                <w:color w:val="auto"/>
                <w:sz w:val="32"/>
                <w:szCs w:val="32"/>
                <w:lang w:eastAsia="zh-CN"/>
              </w:rPr>
              <w:t>系数为1.0，Communications xxx</w:t>
            </w:r>
            <w:r>
              <w:rPr>
                <w:rFonts w:hint="eastAsia" w:ascii="仿宋_GB2312" w:hAnsi="仿宋_GB2312" w:eastAsia="仿宋_GB2312" w:cs="仿宋_GB2312"/>
                <w:b w:val="0"/>
                <w:bCs w:val="0"/>
                <w:snapToGrid/>
                <w:color w:val="auto"/>
                <w:sz w:val="32"/>
                <w:szCs w:val="32"/>
                <w:lang w:val="en-US" w:eastAsia="zh-CN"/>
              </w:rPr>
              <w:t>系列</w:t>
            </w:r>
            <w:r>
              <w:rPr>
                <w:rFonts w:hint="eastAsia" w:ascii="仿宋_GB2312" w:hAnsi="仿宋_GB2312" w:eastAsia="仿宋_GB2312" w:cs="仿宋_GB2312"/>
                <w:b w:val="0"/>
                <w:bCs w:val="0"/>
                <w:snapToGrid/>
                <w:color w:val="auto"/>
                <w:sz w:val="32"/>
                <w:szCs w:val="32"/>
                <w:lang w:eastAsia="zh-CN"/>
              </w:rPr>
              <w:t xml:space="preserve">系数为0.7；npj </w:t>
            </w:r>
            <w:r>
              <w:rPr>
                <w:rFonts w:hint="eastAsia" w:ascii="仿宋_GB2312" w:hAnsi="仿宋_GB2312" w:eastAsia="仿宋_GB2312" w:cs="仿宋_GB2312"/>
                <w:b w:val="0"/>
                <w:bCs w:val="0"/>
                <w:snapToGrid/>
                <w:color w:val="auto"/>
                <w:sz w:val="32"/>
                <w:szCs w:val="32"/>
                <w:lang w:val="en-US" w:eastAsia="zh-CN"/>
              </w:rPr>
              <w:t>系列和</w:t>
            </w:r>
            <w:r>
              <w:rPr>
                <w:rFonts w:hint="eastAsia" w:ascii="仿宋_GB2312" w:hAnsi="仿宋_GB2312" w:eastAsia="仿宋_GB2312" w:cs="仿宋_GB2312"/>
                <w:b w:val="0"/>
                <w:bCs w:val="0"/>
                <w:snapToGrid/>
                <w:color w:val="auto"/>
                <w:sz w:val="32"/>
                <w:szCs w:val="32"/>
                <w:lang w:eastAsia="zh-CN"/>
              </w:rPr>
              <w:t>scientific reports</w:t>
            </w:r>
            <w:r>
              <w:rPr>
                <w:rFonts w:hint="eastAsia" w:ascii="仿宋_GB2312" w:hAnsi="仿宋_GB2312" w:eastAsia="仿宋_GB2312" w:cs="仿宋_GB2312"/>
                <w:b w:val="0"/>
                <w:bCs w:val="0"/>
                <w:snapToGrid/>
                <w:color w:val="auto"/>
                <w:sz w:val="32"/>
                <w:szCs w:val="32"/>
                <w:lang w:val="en-US" w:eastAsia="zh-CN"/>
              </w:rPr>
              <w:t>等</w:t>
            </w:r>
            <w:r>
              <w:rPr>
                <w:rFonts w:hint="eastAsia" w:ascii="仿宋_GB2312" w:hAnsi="仿宋_GB2312" w:eastAsia="仿宋_GB2312" w:cs="仿宋_GB2312"/>
                <w:b w:val="0"/>
                <w:bCs w:val="0"/>
                <w:snapToGrid/>
                <w:color w:val="auto"/>
                <w:sz w:val="32"/>
                <w:szCs w:val="32"/>
                <w:lang w:eastAsia="zh-CN"/>
              </w:rPr>
              <w:t>不纳</w:t>
            </w:r>
            <w:r>
              <w:rPr>
                <w:rFonts w:hint="eastAsia" w:ascii="仿宋_GB2312" w:hAnsi="仿宋_GB2312" w:eastAsia="仿宋_GB2312" w:cs="仿宋_GB2312"/>
                <w:b w:val="0"/>
                <w:bCs w:val="0"/>
                <w:snapToGrid/>
                <w:color w:val="auto"/>
                <w:sz w:val="32"/>
                <w:szCs w:val="32"/>
                <w:highlight w:val="none"/>
                <w:lang w:eastAsia="zh-CN"/>
              </w:rPr>
              <w:t>入子刊</w:t>
            </w:r>
            <w:r>
              <w:rPr>
                <w:rFonts w:hint="eastAsia" w:ascii="仿宋_GB2312" w:hAnsi="仿宋_GB2312" w:eastAsia="仿宋_GB2312" w:cs="仿宋_GB2312"/>
                <w:b w:val="0"/>
                <w:bCs w:val="0"/>
                <w:snapToGrid/>
                <w:color w:val="auto"/>
                <w:sz w:val="32"/>
                <w:szCs w:val="32"/>
                <w:highlight w:val="none"/>
                <w:lang w:val="en-US" w:eastAsia="zh-CN"/>
              </w:rPr>
              <w:t>进行</w:t>
            </w:r>
            <w:r>
              <w:rPr>
                <w:rFonts w:hint="eastAsia" w:ascii="仿宋_GB2312" w:hAnsi="仿宋_GB2312" w:eastAsia="仿宋_GB2312" w:cs="仿宋_GB2312"/>
                <w:b w:val="0"/>
                <w:bCs w:val="0"/>
                <w:snapToGrid/>
                <w:color w:val="auto"/>
                <w:sz w:val="32"/>
                <w:szCs w:val="32"/>
                <w:highlight w:val="none"/>
                <w:lang w:eastAsia="zh-CN"/>
              </w:rPr>
              <w:t xml:space="preserve">加分。 </w:t>
            </w:r>
            <w:r>
              <w:rPr>
                <w:rFonts w:hint="eastAsia" w:ascii="仿宋_GB2312" w:hAnsi="仿宋_GB2312" w:eastAsia="仿宋_GB2312" w:cs="仿宋_GB2312"/>
                <w:b w:val="0"/>
                <w:bCs w:val="0"/>
                <w:snapToGrid/>
                <w:color w:val="auto"/>
                <w:sz w:val="32"/>
                <w:szCs w:val="32"/>
                <w:lang w:eastAsia="zh-CN"/>
              </w:rPr>
              <w:t>PNAS</w:t>
            </w:r>
            <w:r>
              <w:rPr>
                <w:rFonts w:hint="eastAsia" w:ascii="仿宋_GB2312" w:hAnsi="仿宋_GB2312" w:eastAsia="仿宋_GB2312" w:cs="仿宋_GB2312"/>
                <w:b w:val="0"/>
                <w:bCs w:val="0"/>
                <w:snapToGrid/>
                <w:color w:val="auto"/>
                <w:sz w:val="32"/>
                <w:szCs w:val="32"/>
                <w:lang w:val="en-US" w:eastAsia="zh-CN"/>
              </w:rPr>
              <w:t>系数为0.5。</w:t>
            </w:r>
          </w:p>
        </w:tc>
      </w:tr>
      <w:tr w14:paraId="52B3B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4241" w:type="dxa"/>
            <w:vAlign w:val="center"/>
          </w:tcPr>
          <w:p w14:paraId="44E449F4">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lang w:val="en-US" w:eastAsia="zh-CN"/>
              </w:rPr>
            </w:pPr>
            <w:r>
              <w:rPr>
                <w:rFonts w:hint="eastAsia" w:ascii="仿宋_GB2312" w:hAnsi="仿宋_GB2312" w:eastAsia="仿宋_GB2312" w:cs="仿宋_GB2312"/>
                <w:b w:val="0"/>
                <w:bCs w:val="0"/>
                <w:snapToGrid/>
                <w:color w:val="auto"/>
                <w:sz w:val="32"/>
                <w:szCs w:val="32"/>
                <w:lang w:eastAsia="zh-CN"/>
              </w:rPr>
              <w:t>SCIENCE子刊、NATURE子刊</w:t>
            </w:r>
            <w:r>
              <w:rPr>
                <w:rFonts w:hint="eastAsia" w:ascii="仿宋_GB2312" w:hAnsi="仿宋_GB2312" w:eastAsia="仿宋_GB2312" w:cs="仿宋_GB2312"/>
                <w:b w:val="0"/>
                <w:bCs w:val="0"/>
                <w:snapToGrid/>
                <w:color w:val="auto"/>
                <w:sz w:val="32"/>
                <w:szCs w:val="32"/>
                <w:lang w:val="en-US" w:eastAsia="zh-CN"/>
              </w:rPr>
              <w:t>（分类别参考备注说明）及个别刊物（见备注）</w:t>
            </w:r>
          </w:p>
        </w:tc>
        <w:tc>
          <w:tcPr>
            <w:tcW w:w="2518" w:type="dxa"/>
            <w:vAlign w:val="center"/>
          </w:tcPr>
          <w:p w14:paraId="04F5F015">
            <w:pPr>
              <w:keepNext w:val="0"/>
              <w:keepLines w:val="0"/>
              <w:pageBreakBefore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300分/篇</w:t>
            </w:r>
          </w:p>
        </w:tc>
        <w:tc>
          <w:tcPr>
            <w:tcW w:w="2783" w:type="dxa"/>
            <w:vMerge w:val="continue"/>
            <w:vAlign w:val="center"/>
          </w:tcPr>
          <w:p w14:paraId="6A081252">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p>
        </w:tc>
      </w:tr>
      <w:tr w14:paraId="2F79E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6" w:hRule="atLeast"/>
          <w:jc w:val="center"/>
        </w:trPr>
        <w:tc>
          <w:tcPr>
            <w:tcW w:w="4241" w:type="dxa"/>
          </w:tcPr>
          <w:p w14:paraId="52D682A0">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在国内外本领域学术期刊发表论文且被SCI收录</w:t>
            </w:r>
          </w:p>
        </w:tc>
        <w:tc>
          <w:tcPr>
            <w:tcW w:w="2518" w:type="dxa"/>
          </w:tcPr>
          <w:p w14:paraId="0A5E0A12">
            <w:pPr>
              <w:keepNext w:val="0"/>
              <w:keepLines w:val="0"/>
              <w:pageBreakBefore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一区：</w:t>
            </w:r>
            <w:r>
              <w:rPr>
                <w:rFonts w:hint="eastAsia" w:ascii="仿宋_GB2312" w:hAnsi="仿宋_GB2312" w:eastAsia="仿宋_GB2312" w:cs="仿宋_GB2312"/>
                <w:b w:val="0"/>
                <w:bCs w:val="0"/>
                <w:snapToGrid/>
                <w:color w:val="auto"/>
                <w:sz w:val="32"/>
                <w:szCs w:val="32"/>
                <w:lang w:val="en-US" w:eastAsia="zh-CN"/>
              </w:rPr>
              <w:t>7</w:t>
            </w:r>
            <w:r>
              <w:rPr>
                <w:rFonts w:hint="eastAsia" w:ascii="仿宋_GB2312" w:hAnsi="仿宋_GB2312" w:eastAsia="仿宋_GB2312" w:cs="仿宋_GB2312"/>
                <w:b w:val="0"/>
                <w:bCs w:val="0"/>
                <w:snapToGrid/>
                <w:color w:val="auto"/>
                <w:sz w:val="32"/>
                <w:szCs w:val="32"/>
                <w:lang w:eastAsia="zh-CN"/>
              </w:rPr>
              <w:t>0分/篇</w:t>
            </w:r>
          </w:p>
          <w:p w14:paraId="41F85C7E">
            <w:pPr>
              <w:keepNext w:val="0"/>
              <w:keepLines w:val="0"/>
              <w:pageBreakBefore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二区：</w:t>
            </w:r>
            <w:r>
              <w:rPr>
                <w:rFonts w:hint="eastAsia" w:ascii="仿宋_GB2312" w:hAnsi="仿宋_GB2312" w:eastAsia="仿宋_GB2312" w:cs="仿宋_GB2312"/>
                <w:b w:val="0"/>
                <w:bCs w:val="0"/>
                <w:snapToGrid/>
                <w:color w:val="auto"/>
                <w:sz w:val="32"/>
                <w:szCs w:val="32"/>
                <w:lang w:val="en-US" w:eastAsia="zh-CN"/>
              </w:rPr>
              <w:t>5</w:t>
            </w:r>
            <w:r>
              <w:rPr>
                <w:rFonts w:hint="eastAsia" w:ascii="仿宋_GB2312" w:hAnsi="仿宋_GB2312" w:eastAsia="仿宋_GB2312" w:cs="仿宋_GB2312"/>
                <w:b w:val="0"/>
                <w:bCs w:val="0"/>
                <w:snapToGrid/>
                <w:color w:val="auto"/>
                <w:sz w:val="32"/>
                <w:szCs w:val="32"/>
                <w:lang w:eastAsia="zh-CN"/>
              </w:rPr>
              <w:t>0分/篇</w:t>
            </w:r>
          </w:p>
          <w:p w14:paraId="70012EE1">
            <w:pPr>
              <w:keepNext w:val="0"/>
              <w:keepLines w:val="0"/>
              <w:pageBreakBefore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三区：30分/篇</w:t>
            </w:r>
          </w:p>
          <w:p w14:paraId="78705729">
            <w:pPr>
              <w:keepNext w:val="0"/>
              <w:keepLines w:val="0"/>
              <w:pageBreakBefore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val="0"/>
                <w:snapToGrid/>
                <w:color w:val="auto"/>
                <w:kern w:val="2"/>
                <w:sz w:val="32"/>
                <w:szCs w:val="32"/>
                <w:lang w:eastAsia="zh-CN"/>
              </w:rPr>
            </w:pPr>
            <w:bookmarkStart w:id="0" w:name="OLE_LINK5"/>
            <w:r>
              <w:rPr>
                <w:rFonts w:hint="eastAsia" w:ascii="仿宋_GB2312" w:hAnsi="仿宋_GB2312" w:eastAsia="仿宋_GB2312" w:cs="仿宋_GB2312"/>
                <w:b w:val="0"/>
                <w:bCs w:val="0"/>
                <w:snapToGrid/>
                <w:color w:val="auto"/>
                <w:sz w:val="32"/>
                <w:szCs w:val="32"/>
                <w:lang w:eastAsia="zh-CN"/>
              </w:rPr>
              <w:t>四区：10分/篇</w:t>
            </w:r>
            <w:bookmarkEnd w:id="0"/>
          </w:p>
        </w:tc>
        <w:tc>
          <w:tcPr>
            <w:tcW w:w="2783" w:type="dxa"/>
            <w:vMerge w:val="continue"/>
            <w:vAlign w:val="center"/>
          </w:tcPr>
          <w:p w14:paraId="08CCAF9E">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p>
        </w:tc>
      </w:tr>
      <w:tr w14:paraId="18BC5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241" w:type="dxa"/>
          </w:tcPr>
          <w:p w14:paraId="7390B56D">
            <w:pPr>
              <w:keepNext w:val="0"/>
              <w:keepLines w:val="0"/>
              <w:pageBreakBefore w:val="0"/>
              <w:kinsoku/>
              <w:wordWrap/>
              <w:overflowPunct/>
              <w:topLinePunct w:val="0"/>
              <w:autoSpaceDE/>
              <w:autoSpaceDN/>
              <w:bidi w:val="0"/>
              <w:adjustRightInd/>
              <w:snapToGrid/>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在国内本领域核心期刊（且</w:t>
            </w:r>
            <w:r>
              <w:rPr>
                <w:rFonts w:hint="eastAsia" w:ascii="仿宋_GB2312" w:hAnsi="仿宋_GB2312" w:eastAsia="仿宋_GB2312" w:cs="仿宋_GB2312"/>
                <w:b w:val="0"/>
                <w:bCs w:val="0"/>
                <w:snapToGrid/>
                <w:color w:val="auto"/>
                <w:sz w:val="32"/>
                <w:szCs w:val="32"/>
                <w:lang w:val="en-US" w:eastAsia="zh-CN"/>
              </w:rPr>
              <w:t>被</w:t>
            </w:r>
            <w:r>
              <w:rPr>
                <w:rFonts w:hint="eastAsia" w:ascii="仿宋_GB2312" w:hAnsi="仿宋_GB2312" w:eastAsia="仿宋_GB2312" w:cs="仿宋_GB2312"/>
                <w:b w:val="0"/>
                <w:bCs w:val="0"/>
                <w:snapToGrid/>
                <w:color w:val="auto"/>
                <w:sz w:val="32"/>
                <w:szCs w:val="32"/>
                <w:lang w:eastAsia="zh-CN"/>
              </w:rPr>
              <w:t>EI收录）发表高水平论文</w:t>
            </w:r>
          </w:p>
        </w:tc>
        <w:tc>
          <w:tcPr>
            <w:tcW w:w="2518" w:type="dxa"/>
          </w:tcPr>
          <w:p w14:paraId="118D0160">
            <w:pPr>
              <w:keepNext w:val="0"/>
              <w:keepLines w:val="0"/>
              <w:pageBreakBefore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highlight w:val="none"/>
                <w:lang w:eastAsia="zh-CN"/>
              </w:rPr>
              <w:t>5</w:t>
            </w:r>
            <w:r>
              <w:rPr>
                <w:rFonts w:hint="eastAsia" w:ascii="仿宋_GB2312" w:hAnsi="仿宋_GB2312" w:eastAsia="仿宋_GB2312" w:cs="仿宋_GB2312"/>
                <w:b w:val="0"/>
                <w:bCs w:val="0"/>
                <w:snapToGrid/>
                <w:color w:val="auto"/>
                <w:sz w:val="32"/>
                <w:szCs w:val="32"/>
                <w:highlight w:val="none"/>
                <w:lang w:val="en-US" w:eastAsia="zh-CN"/>
              </w:rPr>
              <w:t>0</w:t>
            </w:r>
            <w:r>
              <w:rPr>
                <w:rFonts w:hint="eastAsia" w:ascii="仿宋_GB2312" w:hAnsi="仿宋_GB2312" w:eastAsia="仿宋_GB2312" w:cs="仿宋_GB2312"/>
                <w:b w:val="0"/>
                <w:bCs w:val="0"/>
                <w:snapToGrid/>
                <w:color w:val="auto"/>
                <w:sz w:val="32"/>
                <w:szCs w:val="32"/>
                <w:highlight w:val="none"/>
                <w:lang w:eastAsia="zh-CN"/>
              </w:rPr>
              <w:t>分/篇</w:t>
            </w:r>
          </w:p>
        </w:tc>
        <w:tc>
          <w:tcPr>
            <w:tcW w:w="2783" w:type="dxa"/>
          </w:tcPr>
          <w:p w14:paraId="697A6D34">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p>
        </w:tc>
      </w:tr>
      <w:tr w14:paraId="412B9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4241" w:type="dxa"/>
          </w:tcPr>
          <w:p w14:paraId="4597314C">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highlight w:val="none"/>
                <w:lang w:eastAsia="zh-CN"/>
              </w:rPr>
              <w:t>在本领域核心期刊发表论文</w:t>
            </w:r>
            <w:r>
              <w:rPr>
                <w:rFonts w:hint="eastAsia" w:ascii="仿宋_GB2312" w:hAnsi="仿宋_GB2312" w:eastAsia="仿宋_GB2312" w:cs="仿宋_GB2312"/>
                <w:b w:val="0"/>
                <w:bCs w:val="0"/>
                <w:snapToGrid/>
                <w:color w:val="auto"/>
                <w:sz w:val="32"/>
                <w:szCs w:val="32"/>
                <w:highlight w:val="none"/>
                <w:lang w:val="en-US" w:eastAsia="zh-CN"/>
              </w:rPr>
              <w:t>且被北大核心收录</w:t>
            </w:r>
          </w:p>
        </w:tc>
        <w:tc>
          <w:tcPr>
            <w:tcW w:w="2518" w:type="dxa"/>
          </w:tcPr>
          <w:p w14:paraId="1C67E39E">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highlight w:val="none"/>
                <w:lang w:val="en-US" w:eastAsia="zh-CN"/>
              </w:rPr>
              <w:t>30</w:t>
            </w:r>
            <w:r>
              <w:rPr>
                <w:rFonts w:hint="eastAsia" w:ascii="仿宋_GB2312" w:hAnsi="仿宋_GB2312" w:eastAsia="仿宋_GB2312" w:cs="仿宋_GB2312"/>
                <w:b w:val="0"/>
                <w:bCs w:val="0"/>
                <w:snapToGrid/>
                <w:color w:val="auto"/>
                <w:sz w:val="32"/>
                <w:szCs w:val="32"/>
                <w:highlight w:val="none"/>
                <w:lang w:eastAsia="zh-CN"/>
              </w:rPr>
              <w:t>分/篇</w:t>
            </w:r>
          </w:p>
          <w:p w14:paraId="3C281AD9">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FF0000"/>
                <w:sz w:val="32"/>
                <w:szCs w:val="32"/>
                <w:highlight w:val="none"/>
                <w:lang w:eastAsia="zh-CN"/>
              </w:rPr>
            </w:pPr>
          </w:p>
        </w:tc>
        <w:tc>
          <w:tcPr>
            <w:tcW w:w="2783" w:type="dxa"/>
          </w:tcPr>
          <w:p w14:paraId="3B161E4C">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highlight w:val="yellow"/>
                <w:lang w:val="en-US" w:eastAsia="zh-CN"/>
              </w:rPr>
            </w:pPr>
          </w:p>
        </w:tc>
      </w:tr>
      <w:tr w14:paraId="00D96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4241" w:type="dxa"/>
          </w:tcPr>
          <w:p w14:paraId="0DBAA582">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highlight w:val="none"/>
                <w:lang w:val="en-US" w:eastAsia="zh-CN"/>
              </w:rPr>
            </w:pPr>
            <w:r>
              <w:rPr>
                <w:rFonts w:hint="eastAsia" w:ascii="仿宋_GB2312" w:hAnsi="仿宋_GB2312" w:eastAsia="仿宋_GB2312" w:cs="仿宋_GB2312"/>
                <w:b w:val="0"/>
                <w:bCs w:val="0"/>
                <w:snapToGrid/>
                <w:color w:val="auto"/>
                <w:sz w:val="32"/>
                <w:szCs w:val="32"/>
                <w:highlight w:val="none"/>
                <w:lang w:eastAsia="zh-CN"/>
              </w:rPr>
              <w:t>在本领域核心期刊发表论文</w:t>
            </w:r>
            <w:r>
              <w:rPr>
                <w:rFonts w:hint="eastAsia" w:ascii="仿宋_GB2312" w:hAnsi="仿宋_GB2312" w:eastAsia="仿宋_GB2312" w:cs="仿宋_GB2312"/>
                <w:b w:val="0"/>
                <w:bCs w:val="0"/>
                <w:snapToGrid/>
                <w:color w:val="auto"/>
                <w:sz w:val="32"/>
                <w:szCs w:val="32"/>
                <w:highlight w:val="none"/>
                <w:lang w:val="en-US" w:eastAsia="zh-CN"/>
              </w:rPr>
              <w:t>且被中国科学引文数据库（简称CSCD）收录</w:t>
            </w:r>
          </w:p>
        </w:tc>
        <w:tc>
          <w:tcPr>
            <w:tcW w:w="2518" w:type="dxa"/>
          </w:tcPr>
          <w:p w14:paraId="26D2D4EE">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highlight w:val="none"/>
                <w:lang w:val="en-US" w:eastAsia="zh-CN"/>
              </w:rPr>
              <w:t>10</w:t>
            </w:r>
            <w:r>
              <w:rPr>
                <w:rFonts w:hint="eastAsia" w:ascii="仿宋_GB2312" w:hAnsi="仿宋_GB2312" w:eastAsia="仿宋_GB2312" w:cs="仿宋_GB2312"/>
                <w:b w:val="0"/>
                <w:bCs w:val="0"/>
                <w:snapToGrid/>
                <w:color w:val="auto"/>
                <w:sz w:val="32"/>
                <w:szCs w:val="32"/>
                <w:highlight w:val="none"/>
                <w:lang w:eastAsia="zh-CN"/>
              </w:rPr>
              <w:t>分/篇</w:t>
            </w:r>
          </w:p>
          <w:p w14:paraId="41F7FC33">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highlight w:val="none"/>
                <w:lang w:eastAsia="zh-CN"/>
              </w:rPr>
            </w:pPr>
          </w:p>
        </w:tc>
        <w:tc>
          <w:tcPr>
            <w:tcW w:w="2783" w:type="dxa"/>
          </w:tcPr>
          <w:p w14:paraId="6A70B4EA">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highlight w:val="none"/>
                <w:lang w:val="en-US" w:eastAsia="zh-CN"/>
              </w:rPr>
              <w:t>限1篇用于加分</w:t>
            </w:r>
            <w:r>
              <w:rPr>
                <w:rFonts w:hint="eastAsia" w:ascii="仿宋_GB2312" w:hAnsi="仿宋_GB2312" w:eastAsia="仿宋_GB2312" w:cs="仿宋_GB2312"/>
                <w:b w:val="0"/>
                <w:bCs w:val="0"/>
                <w:snapToGrid/>
                <w:color w:val="auto"/>
                <w:sz w:val="32"/>
                <w:szCs w:val="32"/>
                <w:highlight w:val="none"/>
                <w:lang w:eastAsia="zh-CN"/>
              </w:rPr>
              <w:t>。</w:t>
            </w:r>
          </w:p>
        </w:tc>
      </w:tr>
      <w:tr w14:paraId="4D39D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9542" w:type="dxa"/>
            <w:gridSpan w:val="3"/>
            <w:tcBorders>
              <w:bottom w:val="single" w:color="auto" w:sz="4" w:space="0"/>
            </w:tcBorders>
          </w:tcPr>
          <w:p w14:paraId="3F927466">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备注：</w:t>
            </w:r>
          </w:p>
          <w:p w14:paraId="70884D7C">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（1）研究生应为第一完成人或</w:t>
            </w:r>
            <w:r>
              <w:rPr>
                <w:rFonts w:hint="eastAsia" w:ascii="仿宋_GB2312" w:hAnsi="仿宋_GB2312" w:eastAsia="仿宋_GB2312" w:cs="仿宋_GB2312"/>
                <w:b w:val="0"/>
                <w:bCs w:val="0"/>
                <w:snapToGrid/>
                <w:color w:val="auto"/>
                <w:sz w:val="32"/>
                <w:szCs w:val="32"/>
                <w:lang w:val="en-US" w:eastAsia="zh-CN"/>
              </w:rPr>
              <w:t>学院教师</w:t>
            </w:r>
            <w:r>
              <w:rPr>
                <w:rFonts w:hint="eastAsia" w:ascii="仿宋_GB2312" w:hAnsi="仿宋_GB2312" w:eastAsia="仿宋_GB2312" w:cs="仿宋_GB2312"/>
                <w:b w:val="0"/>
                <w:bCs w:val="0"/>
                <w:snapToGrid/>
                <w:color w:val="auto"/>
                <w:sz w:val="32"/>
                <w:szCs w:val="32"/>
                <w:lang w:eastAsia="zh-CN"/>
              </w:rPr>
              <w:t>为第一完成人、研究生为第二完成人。</w:t>
            </w:r>
          </w:p>
          <w:p w14:paraId="3811857C">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（2）共同第一作者（不包括导师、学生为共同第一作者的情况）按照总分/共同一作人数计算。</w:t>
            </w:r>
          </w:p>
          <w:p w14:paraId="133AAE35">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（3）期刊分区以发表或录用当年的中科院大类分区最新版为准，相关论文成果如可归属以上多个类别，则取最高值加分。</w:t>
            </w:r>
          </w:p>
        </w:tc>
      </w:tr>
    </w:tbl>
    <w:p w14:paraId="3F132EE8">
      <w:pPr>
        <w:keepNext w:val="0"/>
        <w:keepLines w:val="0"/>
        <w:pageBreakBefore w:val="0"/>
        <w:widowControl w:val="0"/>
        <w:kinsoku/>
        <w:wordWrap/>
        <w:overflowPunct/>
        <w:topLinePunct w:val="0"/>
        <w:autoSpaceDE/>
        <w:autoSpaceDN/>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说明：</w:t>
      </w:r>
    </w:p>
    <w:p w14:paraId="5DFB632E">
      <w:pPr>
        <w:keepNext w:val="0"/>
        <w:keepLines w:val="0"/>
        <w:pageBreakBefore w:val="0"/>
        <w:widowControl w:val="0"/>
        <w:numPr>
          <w:ilvl w:val="0"/>
          <w:numId w:val="2"/>
        </w:numPr>
        <w:kinsoku/>
        <w:wordWrap/>
        <w:overflowPunct/>
        <w:topLinePunct w:val="0"/>
        <w:autoSpaceDE/>
        <w:autoSpaceDN/>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学术论文必须是参评年度正式发表或已被期刊社接收录用。已被录用需期刊社出具录用证明（必须有录用证明，如录用结果为邮件通知，则需要导师签名确认）。</w:t>
      </w:r>
    </w:p>
    <w:p w14:paraId="1018C0F1">
      <w:pPr>
        <w:keepNext w:val="0"/>
        <w:keepLines w:val="0"/>
        <w:pageBreakBefore w:val="0"/>
        <w:widowControl w:val="0"/>
        <w:numPr>
          <w:ilvl w:val="12"/>
          <w:numId w:val="0"/>
        </w:numPr>
        <w:kinsoku/>
        <w:wordWrap/>
        <w:overflowPunct/>
        <w:topLinePunct w:val="0"/>
        <w:autoSpaceDE/>
        <w:autoSpaceDN/>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（2）中文核心期刊目录按照发表或录用当年的</w:t>
      </w:r>
      <w:r>
        <w:rPr>
          <w:rFonts w:hint="eastAsia" w:ascii="仿宋_GB2312" w:hAnsi="仿宋_GB2312" w:eastAsia="仿宋_GB2312" w:cs="仿宋_GB2312"/>
          <w:b w:val="0"/>
          <w:bCs w:val="0"/>
          <w:snapToGrid/>
          <w:color w:val="auto"/>
          <w:sz w:val="32"/>
          <w:szCs w:val="32"/>
          <w:lang w:val="en-US" w:eastAsia="zh-CN"/>
        </w:rPr>
        <w:t>北京大学图书馆中文核心期刊目录/CSCD目录</w:t>
      </w:r>
      <w:r>
        <w:rPr>
          <w:rFonts w:hint="eastAsia" w:ascii="仿宋_GB2312" w:hAnsi="仿宋_GB2312" w:eastAsia="仿宋_GB2312" w:cs="仿宋_GB2312"/>
          <w:b w:val="0"/>
          <w:bCs w:val="0"/>
          <w:snapToGrid/>
          <w:color w:val="auto"/>
          <w:sz w:val="32"/>
          <w:szCs w:val="32"/>
          <w:lang w:eastAsia="zh-CN"/>
        </w:rPr>
        <w:t>最新版为准。发表在国内刊物的必须要有CN或ISSN登记号。</w:t>
      </w:r>
    </w:p>
    <w:p w14:paraId="29058E2D">
      <w:pPr>
        <w:keepNext w:val="0"/>
        <w:keepLines w:val="0"/>
        <w:pageBreakBefore w:val="0"/>
        <w:widowControl w:val="0"/>
        <w:kinsoku/>
        <w:wordWrap/>
        <w:overflowPunct/>
        <w:topLinePunct w:val="0"/>
        <w:autoSpaceDE/>
        <w:autoSpaceDN/>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3</w:t>
      </w:r>
      <w:r>
        <w:rPr>
          <w:rFonts w:hint="eastAsia" w:ascii="仿宋_GB2312" w:hAnsi="仿宋_GB2312" w:eastAsia="仿宋_GB2312" w:cs="仿宋_GB2312"/>
          <w:b w:val="0"/>
          <w:bCs w:val="0"/>
          <w:snapToGrid/>
          <w:color w:val="auto"/>
          <w:sz w:val="32"/>
          <w:szCs w:val="32"/>
          <w:lang w:eastAsia="zh-CN"/>
        </w:rPr>
        <w:t>）会议论文按参加学术会议活动另行计算。</w:t>
      </w:r>
    </w:p>
    <w:p w14:paraId="3AB6C7CB">
      <w:pPr>
        <w:keepNext w:val="0"/>
        <w:keepLines w:val="0"/>
        <w:pageBreakBefore w:val="0"/>
        <w:widowControl w:val="0"/>
        <w:kinsoku/>
        <w:wordWrap/>
        <w:overflowPunct/>
        <w:topLinePunct w:val="0"/>
        <w:autoSpaceDE/>
        <w:autoSpaceDN/>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highlight w:val="none"/>
          <w:lang w:val="en-US" w:eastAsia="zh-CN"/>
        </w:rPr>
      </w:pPr>
      <w:r>
        <w:rPr>
          <w:rFonts w:hint="eastAsia" w:ascii="仿宋_GB2312" w:hAnsi="仿宋_GB2312" w:eastAsia="仿宋_GB2312" w:cs="仿宋_GB2312"/>
          <w:b w:val="0"/>
          <w:bCs w:val="0"/>
          <w:snapToGrid/>
          <w:color w:val="auto"/>
          <w:sz w:val="32"/>
          <w:szCs w:val="32"/>
          <w:highlight w:val="none"/>
          <w:lang w:val="en-US" w:eastAsia="zh-CN"/>
        </w:rPr>
        <w:t>（4）在SCIENCE、NATURE期刊发表论文的，排名第1（或导师排第1，学生第2位），系数为1.0，其他共同第一作者系数为0.9；除以上情况外，其他绝对顺序</w:t>
      </w:r>
      <w:r>
        <w:rPr>
          <w:rFonts w:hint="eastAsia" w:ascii="仿宋_GB2312" w:hAnsi="仿宋_GB2312" w:eastAsia="仿宋_GB2312" w:cs="仿宋_GB2312"/>
          <w:b w:val="0"/>
          <w:bCs w:val="0"/>
          <w:snapToGrid/>
          <w:color w:val="auto"/>
          <w:sz w:val="32"/>
          <w:szCs w:val="32"/>
          <w:highlight w:val="none"/>
          <w:lang w:eastAsia="zh-CN"/>
        </w:rPr>
        <w:t>排名第2-5，系数为0.8；排名</w:t>
      </w:r>
      <w:r>
        <w:rPr>
          <w:rFonts w:hint="eastAsia" w:ascii="仿宋_GB2312" w:hAnsi="仿宋_GB2312" w:eastAsia="仿宋_GB2312" w:cs="仿宋_GB2312"/>
          <w:b w:val="0"/>
          <w:bCs w:val="0"/>
          <w:snapToGrid/>
          <w:color w:val="auto"/>
          <w:sz w:val="32"/>
          <w:szCs w:val="32"/>
          <w:highlight w:val="none"/>
          <w:lang w:val="en-US" w:eastAsia="zh-CN"/>
        </w:rPr>
        <w:t>6-10</w:t>
      </w:r>
      <w:r>
        <w:rPr>
          <w:rFonts w:hint="eastAsia" w:ascii="仿宋_GB2312" w:hAnsi="仿宋_GB2312" w:eastAsia="仿宋_GB2312" w:cs="仿宋_GB2312"/>
          <w:b w:val="0"/>
          <w:bCs w:val="0"/>
          <w:snapToGrid/>
          <w:color w:val="auto"/>
          <w:sz w:val="32"/>
          <w:szCs w:val="32"/>
          <w:highlight w:val="none"/>
          <w:lang w:eastAsia="zh-CN"/>
        </w:rPr>
        <w:t>，系数为0.5；</w:t>
      </w:r>
      <w:r>
        <w:rPr>
          <w:rFonts w:hint="eastAsia" w:ascii="仿宋_GB2312" w:hAnsi="仿宋_GB2312" w:eastAsia="仿宋_GB2312" w:cs="仿宋_GB2312"/>
          <w:b w:val="0"/>
          <w:bCs w:val="0"/>
          <w:snapToGrid/>
          <w:color w:val="auto"/>
          <w:sz w:val="32"/>
          <w:szCs w:val="32"/>
          <w:highlight w:val="none"/>
          <w:lang w:val="en-US" w:eastAsia="zh-CN"/>
        </w:rPr>
        <w:t>11名及以后系数为0.3。</w:t>
      </w:r>
    </w:p>
    <w:p w14:paraId="552C21E6">
      <w:pPr>
        <w:keepNext w:val="0"/>
        <w:keepLines w:val="0"/>
        <w:pageBreakBefore w:val="0"/>
        <w:widowControl w:val="0"/>
        <w:kinsoku/>
        <w:wordWrap/>
        <w:overflowPunct/>
        <w:topLinePunct w:val="0"/>
        <w:autoSpaceDE/>
        <w:autoSpaceDN/>
        <w:bidi w:val="0"/>
        <w:spacing w:line="540" w:lineRule="exact"/>
        <w:ind w:firstLine="643"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bCs/>
          <w:snapToGrid/>
          <w:color w:val="auto"/>
          <w:sz w:val="32"/>
          <w:szCs w:val="32"/>
          <w:lang w:val="en-US" w:eastAsia="zh-CN"/>
        </w:rPr>
        <w:t>第六条</w:t>
      </w:r>
      <w:r>
        <w:rPr>
          <w:rFonts w:hint="eastAsia" w:ascii="仿宋_GB2312" w:hAnsi="仿宋_GB2312" w:eastAsia="仿宋_GB2312" w:cs="仿宋_GB2312"/>
          <w:b w:val="0"/>
          <w:bCs w:val="0"/>
          <w:snapToGrid/>
          <w:color w:val="auto"/>
          <w:sz w:val="32"/>
          <w:szCs w:val="32"/>
          <w:lang w:val="en-US" w:eastAsia="zh-CN"/>
        </w:rPr>
        <w:t xml:space="preserve"> </w:t>
      </w:r>
      <w:r>
        <w:rPr>
          <w:rFonts w:hint="eastAsia" w:ascii="仿宋_GB2312" w:hAnsi="仿宋_GB2312" w:eastAsia="仿宋_GB2312" w:cs="仿宋_GB2312"/>
          <w:b w:val="0"/>
          <w:bCs w:val="0"/>
          <w:snapToGrid/>
          <w:color w:val="auto"/>
          <w:sz w:val="32"/>
          <w:szCs w:val="32"/>
          <w:lang w:eastAsia="zh-CN"/>
        </w:rPr>
        <w:t>专利、软著加分</w:t>
      </w:r>
    </w:p>
    <w:tbl>
      <w:tblPr>
        <w:tblStyle w:val="8"/>
        <w:tblW w:w="9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2"/>
        <w:gridCol w:w="944"/>
        <w:gridCol w:w="2934"/>
      </w:tblGrid>
      <w:tr w14:paraId="0EF15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5382" w:type="dxa"/>
            <w:tcBorders>
              <w:top w:val="single" w:color="auto" w:sz="4" w:space="0"/>
            </w:tcBorders>
          </w:tcPr>
          <w:p w14:paraId="191D4E52">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加分类别</w:t>
            </w:r>
          </w:p>
        </w:tc>
        <w:tc>
          <w:tcPr>
            <w:tcW w:w="944" w:type="dxa"/>
            <w:tcBorders>
              <w:top w:val="single" w:color="auto" w:sz="4" w:space="0"/>
            </w:tcBorders>
          </w:tcPr>
          <w:p w14:paraId="14526A7F">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分值</w:t>
            </w:r>
          </w:p>
        </w:tc>
        <w:tc>
          <w:tcPr>
            <w:tcW w:w="2934" w:type="dxa"/>
            <w:tcBorders>
              <w:top w:val="single" w:color="auto" w:sz="4" w:space="0"/>
            </w:tcBorders>
          </w:tcPr>
          <w:p w14:paraId="38CC4149">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备注</w:t>
            </w:r>
          </w:p>
        </w:tc>
      </w:tr>
      <w:tr w14:paraId="08F91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5382" w:type="dxa"/>
            <w:tcBorders>
              <w:top w:val="single" w:color="auto" w:sz="4" w:space="0"/>
              <w:left w:val="single" w:color="auto" w:sz="4" w:space="0"/>
              <w:bottom w:val="single" w:color="auto" w:sz="4" w:space="0"/>
              <w:right w:val="single" w:color="auto" w:sz="4" w:space="0"/>
            </w:tcBorders>
          </w:tcPr>
          <w:p w14:paraId="5C4B1AC9">
            <w:pPr>
              <w:keepNext w:val="0"/>
              <w:keepLines w:val="0"/>
              <w:pageBreakBefore w:val="0"/>
              <w:widowControl w:val="0"/>
              <w:kinsoku/>
              <w:wordWrap/>
              <w:overflowPunct/>
              <w:topLinePunct w:val="0"/>
              <w:autoSpaceDE/>
              <w:autoSpaceDN/>
              <w:bidi w:val="0"/>
              <w:spacing w:line="540" w:lineRule="exact"/>
              <w:jc w:val="left"/>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发明专利（已被正式授权）</w:t>
            </w:r>
          </w:p>
        </w:tc>
        <w:tc>
          <w:tcPr>
            <w:tcW w:w="944" w:type="dxa"/>
            <w:tcBorders>
              <w:top w:val="single" w:color="auto" w:sz="4" w:space="0"/>
              <w:left w:val="single" w:color="auto" w:sz="4" w:space="0"/>
              <w:bottom w:val="single" w:color="auto" w:sz="4" w:space="0"/>
              <w:right w:val="single" w:color="auto" w:sz="4" w:space="0"/>
            </w:tcBorders>
          </w:tcPr>
          <w:p w14:paraId="484F719A">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val="en-US" w:eastAsia="zh-CN"/>
              </w:rPr>
              <w:t>5</w:t>
            </w:r>
            <w:r>
              <w:rPr>
                <w:rFonts w:hint="eastAsia" w:ascii="仿宋_GB2312" w:hAnsi="仿宋_GB2312" w:eastAsia="仿宋_GB2312" w:cs="仿宋_GB2312"/>
                <w:b w:val="0"/>
                <w:bCs w:val="0"/>
                <w:snapToGrid/>
                <w:color w:val="auto"/>
                <w:sz w:val="32"/>
                <w:szCs w:val="32"/>
                <w:lang w:eastAsia="zh-CN"/>
              </w:rPr>
              <w:t>0分</w:t>
            </w:r>
          </w:p>
        </w:tc>
        <w:tc>
          <w:tcPr>
            <w:tcW w:w="2934" w:type="dxa"/>
            <w:tcBorders>
              <w:left w:val="single" w:color="auto" w:sz="4" w:space="0"/>
              <w:right w:val="single" w:color="auto" w:sz="4" w:space="0"/>
            </w:tcBorders>
          </w:tcPr>
          <w:p w14:paraId="2AC5FFF5">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p>
        </w:tc>
      </w:tr>
      <w:tr w14:paraId="5BFEC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5382" w:type="dxa"/>
            <w:tcBorders>
              <w:top w:val="single" w:color="auto" w:sz="4" w:space="0"/>
              <w:left w:val="single" w:color="auto" w:sz="4" w:space="0"/>
              <w:bottom w:val="single" w:color="auto" w:sz="4" w:space="0"/>
              <w:right w:val="single" w:color="auto" w:sz="4" w:space="0"/>
            </w:tcBorders>
          </w:tcPr>
          <w:p w14:paraId="575E6425">
            <w:pPr>
              <w:keepNext w:val="0"/>
              <w:keepLines w:val="0"/>
              <w:pageBreakBefore w:val="0"/>
              <w:widowControl w:val="0"/>
              <w:kinsoku/>
              <w:wordWrap/>
              <w:overflowPunct/>
              <w:topLinePunct w:val="0"/>
              <w:autoSpaceDE/>
              <w:autoSpaceDN/>
              <w:bidi w:val="0"/>
              <w:spacing w:line="540" w:lineRule="exact"/>
              <w:jc w:val="left"/>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实用新型专利（已被正式授权）</w:t>
            </w:r>
          </w:p>
        </w:tc>
        <w:tc>
          <w:tcPr>
            <w:tcW w:w="944" w:type="dxa"/>
            <w:tcBorders>
              <w:top w:val="single" w:color="auto" w:sz="4" w:space="0"/>
              <w:left w:val="single" w:color="auto" w:sz="4" w:space="0"/>
              <w:bottom w:val="single" w:color="auto" w:sz="4" w:space="0"/>
              <w:right w:val="single" w:color="auto" w:sz="4" w:space="0"/>
            </w:tcBorders>
          </w:tcPr>
          <w:p w14:paraId="5B34C784">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2分</w:t>
            </w:r>
          </w:p>
        </w:tc>
        <w:tc>
          <w:tcPr>
            <w:tcW w:w="2934" w:type="dxa"/>
            <w:vMerge w:val="restart"/>
            <w:tcBorders>
              <w:left w:val="single" w:color="auto" w:sz="4" w:space="0"/>
              <w:right w:val="single" w:color="auto" w:sz="4" w:space="0"/>
            </w:tcBorders>
          </w:tcPr>
          <w:p w14:paraId="12D6F842">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此3种成果参评学年合计限3项用于加分，且完成人须包含导师。</w:t>
            </w:r>
          </w:p>
        </w:tc>
      </w:tr>
      <w:tr w14:paraId="66523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5382" w:type="dxa"/>
            <w:tcBorders>
              <w:top w:val="single" w:color="auto" w:sz="4" w:space="0"/>
              <w:left w:val="single" w:color="auto" w:sz="4" w:space="0"/>
              <w:bottom w:val="single" w:color="auto" w:sz="4" w:space="0"/>
              <w:right w:val="single" w:color="auto" w:sz="4" w:space="0"/>
            </w:tcBorders>
            <w:vAlign w:val="center"/>
          </w:tcPr>
          <w:p w14:paraId="57F0A088">
            <w:pPr>
              <w:keepNext w:val="0"/>
              <w:keepLines w:val="0"/>
              <w:pageBreakBefore w:val="0"/>
              <w:widowControl w:val="0"/>
              <w:kinsoku/>
              <w:wordWrap/>
              <w:overflowPunct/>
              <w:topLinePunct w:val="0"/>
              <w:autoSpaceDE/>
              <w:autoSpaceDN/>
              <w:bidi w:val="0"/>
              <w:spacing w:line="540" w:lineRule="exact"/>
              <w:jc w:val="left"/>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外观设计专利（已被正式授权）</w:t>
            </w:r>
          </w:p>
        </w:tc>
        <w:tc>
          <w:tcPr>
            <w:tcW w:w="944" w:type="dxa"/>
            <w:tcBorders>
              <w:top w:val="single" w:color="auto" w:sz="4" w:space="0"/>
              <w:left w:val="single" w:color="auto" w:sz="4" w:space="0"/>
              <w:bottom w:val="single" w:color="auto" w:sz="4" w:space="0"/>
              <w:right w:val="single" w:color="auto" w:sz="4" w:space="0"/>
            </w:tcBorders>
          </w:tcPr>
          <w:p w14:paraId="454B6297">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2分</w:t>
            </w:r>
          </w:p>
        </w:tc>
        <w:tc>
          <w:tcPr>
            <w:tcW w:w="2934" w:type="dxa"/>
            <w:vMerge w:val="continue"/>
            <w:tcBorders>
              <w:left w:val="single" w:color="auto" w:sz="4" w:space="0"/>
              <w:right w:val="single" w:color="auto" w:sz="4" w:space="0"/>
            </w:tcBorders>
          </w:tcPr>
          <w:p w14:paraId="781204E2">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p>
        </w:tc>
      </w:tr>
      <w:tr w14:paraId="6750C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5382" w:type="dxa"/>
            <w:tcBorders>
              <w:top w:val="single" w:color="auto" w:sz="4" w:space="0"/>
              <w:left w:val="single" w:color="auto" w:sz="4" w:space="0"/>
              <w:bottom w:val="single" w:color="auto" w:sz="4" w:space="0"/>
              <w:right w:val="single" w:color="auto" w:sz="4" w:space="0"/>
            </w:tcBorders>
            <w:vAlign w:val="center"/>
          </w:tcPr>
          <w:p w14:paraId="7C12EFC6">
            <w:pPr>
              <w:keepNext w:val="0"/>
              <w:keepLines w:val="0"/>
              <w:pageBreakBefore w:val="0"/>
              <w:widowControl w:val="0"/>
              <w:kinsoku/>
              <w:wordWrap/>
              <w:overflowPunct/>
              <w:topLinePunct w:val="0"/>
              <w:autoSpaceDE/>
              <w:autoSpaceDN/>
              <w:bidi w:val="0"/>
              <w:spacing w:line="540" w:lineRule="exact"/>
              <w:jc w:val="left"/>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计算机软件著作权（已被正式授权）</w:t>
            </w:r>
          </w:p>
        </w:tc>
        <w:tc>
          <w:tcPr>
            <w:tcW w:w="944" w:type="dxa"/>
            <w:tcBorders>
              <w:top w:val="single" w:color="auto" w:sz="4" w:space="0"/>
              <w:left w:val="single" w:color="auto" w:sz="4" w:space="0"/>
              <w:bottom w:val="single" w:color="auto" w:sz="4" w:space="0"/>
              <w:right w:val="single" w:color="auto" w:sz="4" w:space="0"/>
            </w:tcBorders>
          </w:tcPr>
          <w:p w14:paraId="7D857829">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2分</w:t>
            </w:r>
          </w:p>
        </w:tc>
        <w:tc>
          <w:tcPr>
            <w:tcW w:w="2934" w:type="dxa"/>
            <w:vMerge w:val="continue"/>
            <w:tcBorders>
              <w:left w:val="single" w:color="auto" w:sz="4" w:space="0"/>
              <w:bottom w:val="single" w:color="auto" w:sz="4" w:space="0"/>
              <w:right w:val="single" w:color="auto" w:sz="4" w:space="0"/>
            </w:tcBorders>
          </w:tcPr>
          <w:p w14:paraId="045FB934">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p>
        </w:tc>
      </w:tr>
    </w:tbl>
    <w:p w14:paraId="1FF7D810">
      <w:pPr>
        <w:keepNext w:val="0"/>
        <w:keepLines w:val="0"/>
        <w:pageBreakBefore w:val="0"/>
        <w:widowControl w:val="0"/>
        <w:kinsoku/>
        <w:wordWrap/>
        <w:overflowPunct/>
        <w:topLinePunct w:val="0"/>
        <w:autoSpaceDE/>
        <w:autoSpaceDN/>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说明：</w:t>
      </w:r>
    </w:p>
    <w:p w14:paraId="02289470">
      <w:pPr>
        <w:keepNext w:val="0"/>
        <w:keepLines w:val="0"/>
        <w:pageBreakBefore w:val="0"/>
        <w:widowControl w:val="0"/>
        <w:kinsoku/>
        <w:wordWrap/>
        <w:overflowPunct/>
        <w:topLinePunct w:val="0"/>
        <w:autoSpaceDE/>
        <w:autoSpaceDN/>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（1）研究生应为第一发明人；或导师为第一发明人、研究生为第二发明人。</w:t>
      </w:r>
    </w:p>
    <w:p w14:paraId="69D3501F">
      <w:pPr>
        <w:keepNext w:val="0"/>
        <w:keepLines w:val="0"/>
        <w:pageBreakBefore w:val="0"/>
        <w:widowControl w:val="0"/>
        <w:kinsoku/>
        <w:wordWrap/>
        <w:overflowPunct/>
        <w:topLinePunct w:val="0"/>
        <w:autoSpaceDE/>
        <w:autoSpaceDN/>
        <w:bidi w:val="0"/>
        <w:spacing w:line="540" w:lineRule="exact"/>
        <w:ind w:firstLine="64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（2）申请（专利权）人为中山大学。</w:t>
      </w:r>
    </w:p>
    <w:p w14:paraId="6AB5A162">
      <w:pPr>
        <w:keepNext w:val="0"/>
        <w:keepLines w:val="0"/>
        <w:pageBreakBefore w:val="0"/>
        <w:widowControl w:val="0"/>
        <w:kinsoku/>
        <w:wordWrap/>
        <w:overflowPunct/>
        <w:topLinePunct w:val="0"/>
        <w:autoSpaceDE/>
        <w:autoSpaceDN/>
        <w:bidi w:val="0"/>
        <w:spacing w:line="540" w:lineRule="exact"/>
        <w:ind w:firstLine="64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（3）同一个专利同时申请国内/外专利的，只按最高分值计算。</w:t>
      </w:r>
    </w:p>
    <w:p w14:paraId="54FD2190">
      <w:pPr>
        <w:keepNext w:val="0"/>
        <w:keepLines w:val="0"/>
        <w:pageBreakBefore w:val="0"/>
        <w:widowControl w:val="0"/>
        <w:kinsoku/>
        <w:wordWrap/>
        <w:overflowPunct/>
        <w:topLinePunct w:val="0"/>
        <w:autoSpaceDE/>
        <w:autoSpaceDN/>
        <w:bidi w:val="0"/>
        <w:spacing w:line="540" w:lineRule="exact"/>
        <w:ind w:firstLine="64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（4）对于软件著作权，申请者需提供“中华人民共和国国家版权局计算机软件著作权登记证书”，时间按照“中华人民共和国版权局”公章落款日期计算。软著需提供完成人证明材料。</w:t>
      </w:r>
    </w:p>
    <w:p w14:paraId="0DFD7FE9">
      <w:pPr>
        <w:keepNext w:val="0"/>
        <w:keepLines w:val="0"/>
        <w:pageBreakBefore w:val="0"/>
        <w:widowControl w:val="0"/>
        <w:kinsoku/>
        <w:wordWrap/>
        <w:overflowPunct/>
        <w:topLinePunct w:val="0"/>
        <w:autoSpaceDE/>
        <w:autoSpaceDN/>
        <w:bidi w:val="0"/>
        <w:spacing w:line="540" w:lineRule="exact"/>
        <w:ind w:firstLine="64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（5）对于发明专利，申请者须提供国家知识产权局的发明专利证书，或授予发明专利权通知书及缴费证明。</w:t>
      </w:r>
    </w:p>
    <w:p w14:paraId="3F125535">
      <w:pPr>
        <w:keepNext w:val="0"/>
        <w:keepLines w:val="0"/>
        <w:pageBreakBefore w:val="0"/>
        <w:widowControl w:val="0"/>
        <w:kinsoku/>
        <w:wordWrap/>
        <w:overflowPunct/>
        <w:topLinePunct w:val="0"/>
        <w:autoSpaceDE/>
        <w:autoSpaceDN/>
        <w:bidi w:val="0"/>
        <w:spacing w:line="540" w:lineRule="exact"/>
        <w:ind w:firstLine="640"/>
        <w:jc w:val="both"/>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6</w:t>
      </w:r>
      <w:r>
        <w:rPr>
          <w:rFonts w:hint="eastAsia" w:ascii="仿宋_GB2312" w:hAnsi="仿宋_GB2312" w:eastAsia="仿宋_GB2312" w:cs="仿宋_GB2312"/>
          <w:b w:val="0"/>
          <w:bCs w:val="0"/>
          <w:snapToGrid/>
          <w:color w:val="auto"/>
          <w:sz w:val="32"/>
          <w:szCs w:val="32"/>
          <w:lang w:eastAsia="zh-CN"/>
        </w:rPr>
        <w:t>）国际专利限美国专利、日本专利和欧洲专利(指通过欧洲专利局EPO进行授权)进行加分，参评周期内只限3项用于加分</w:t>
      </w:r>
      <w:r>
        <w:rPr>
          <w:rFonts w:hint="eastAsia" w:ascii="仿宋_GB2312" w:hAnsi="仿宋_GB2312" w:eastAsia="仿宋_GB2312" w:cs="仿宋_GB2312"/>
          <w:b w:val="0"/>
          <w:bCs w:val="0"/>
          <w:snapToGrid/>
          <w:color w:val="auto"/>
          <w:sz w:val="32"/>
          <w:szCs w:val="32"/>
          <w:highlight w:val="none"/>
          <w:lang w:eastAsia="zh-CN"/>
        </w:rPr>
        <w:t>。</w:t>
      </w:r>
    </w:p>
    <w:p w14:paraId="7DD41110">
      <w:pPr>
        <w:keepNext w:val="0"/>
        <w:keepLines w:val="0"/>
        <w:pageBreakBefore w:val="0"/>
        <w:widowControl w:val="0"/>
        <w:kinsoku/>
        <w:wordWrap/>
        <w:overflowPunct/>
        <w:topLinePunct w:val="0"/>
        <w:autoSpaceDE/>
        <w:autoSpaceDN/>
        <w:bidi w:val="0"/>
        <w:spacing w:line="540" w:lineRule="exact"/>
        <w:ind w:firstLine="643"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bCs/>
          <w:snapToGrid/>
          <w:color w:val="auto"/>
          <w:sz w:val="32"/>
          <w:szCs w:val="32"/>
          <w:lang w:val="en-US" w:eastAsia="zh-CN"/>
        </w:rPr>
        <w:t>第七条</w:t>
      </w:r>
      <w:r>
        <w:rPr>
          <w:rFonts w:hint="eastAsia" w:ascii="仿宋_GB2312" w:hAnsi="仿宋_GB2312" w:eastAsia="仿宋_GB2312" w:cs="仿宋_GB2312"/>
          <w:b w:val="0"/>
          <w:bCs w:val="0"/>
          <w:snapToGrid/>
          <w:color w:val="auto"/>
          <w:sz w:val="32"/>
          <w:szCs w:val="32"/>
          <w:lang w:val="en-US" w:eastAsia="zh-CN"/>
        </w:rPr>
        <w:t xml:space="preserve"> </w:t>
      </w:r>
      <w:r>
        <w:rPr>
          <w:rFonts w:hint="eastAsia" w:ascii="仿宋_GB2312" w:hAnsi="仿宋_GB2312" w:eastAsia="仿宋_GB2312" w:cs="仿宋_GB2312"/>
          <w:b w:val="0"/>
          <w:bCs w:val="0"/>
          <w:snapToGrid/>
          <w:color w:val="auto"/>
          <w:sz w:val="32"/>
          <w:szCs w:val="32"/>
          <w:lang w:eastAsia="zh-CN"/>
        </w:rPr>
        <w:t>科技奖励加分</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0"/>
        <w:gridCol w:w="2639"/>
        <w:gridCol w:w="3385"/>
      </w:tblGrid>
      <w:tr w14:paraId="24E8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0" w:type="dxa"/>
          </w:tcPr>
          <w:p w14:paraId="4B9F83BB">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奖励级别</w:t>
            </w:r>
          </w:p>
        </w:tc>
        <w:tc>
          <w:tcPr>
            <w:tcW w:w="2639" w:type="dxa"/>
          </w:tcPr>
          <w:p w14:paraId="418D6C95">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分值</w:t>
            </w:r>
          </w:p>
        </w:tc>
        <w:tc>
          <w:tcPr>
            <w:tcW w:w="3385" w:type="dxa"/>
          </w:tcPr>
          <w:p w14:paraId="698B6D30">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备注</w:t>
            </w:r>
          </w:p>
        </w:tc>
      </w:tr>
      <w:tr w14:paraId="1ADE2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1780" w:type="dxa"/>
          </w:tcPr>
          <w:p w14:paraId="0F62A1E5">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国家级</w:t>
            </w:r>
          </w:p>
        </w:tc>
        <w:tc>
          <w:tcPr>
            <w:tcW w:w="2639" w:type="dxa"/>
          </w:tcPr>
          <w:p w14:paraId="55E98629">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一等：1000分</w:t>
            </w:r>
          </w:p>
          <w:p w14:paraId="7ACCC708">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二等：800分</w:t>
            </w:r>
          </w:p>
        </w:tc>
        <w:tc>
          <w:tcPr>
            <w:tcW w:w="3385" w:type="dxa"/>
            <w:vMerge w:val="restart"/>
          </w:tcPr>
          <w:p w14:paraId="2E9F1AD5">
            <w:pPr>
              <w:keepNext w:val="0"/>
              <w:keepLines w:val="0"/>
              <w:pageBreakBefore w:val="0"/>
              <w:widowControl w:val="0"/>
              <w:numPr>
                <w:ilvl w:val="0"/>
                <w:numId w:val="0"/>
              </w:numPr>
              <w:kinsoku/>
              <w:wordWrap/>
              <w:overflowPunct/>
              <w:topLinePunct w:val="0"/>
              <w:autoSpaceDE/>
              <w:autoSpaceDN/>
              <w:bidi w:val="0"/>
              <w:spacing w:line="540" w:lineRule="exact"/>
              <w:jc w:val="left"/>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科技奖励作为成果时需要提供获奖证书。</w:t>
            </w:r>
          </w:p>
        </w:tc>
      </w:tr>
      <w:tr w14:paraId="751F5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jc w:val="center"/>
        </w:trPr>
        <w:tc>
          <w:tcPr>
            <w:tcW w:w="1780" w:type="dxa"/>
          </w:tcPr>
          <w:p w14:paraId="57B85250">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省部级</w:t>
            </w:r>
          </w:p>
        </w:tc>
        <w:tc>
          <w:tcPr>
            <w:tcW w:w="2639" w:type="dxa"/>
          </w:tcPr>
          <w:p w14:paraId="553AAC97">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特等：700分</w:t>
            </w:r>
          </w:p>
          <w:p w14:paraId="46FBFB6A">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一等：600分</w:t>
            </w:r>
          </w:p>
          <w:p w14:paraId="4BE8F430">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snapToGrid/>
                <w:color w:val="auto"/>
                <w:sz w:val="32"/>
                <w:szCs w:val="32"/>
                <w:lang w:eastAsia="zh-CN"/>
              </w:rPr>
              <w:t>二等：500分</w:t>
            </w:r>
          </w:p>
          <w:p w14:paraId="42ECB7BE">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三等：400分</w:t>
            </w:r>
          </w:p>
        </w:tc>
        <w:tc>
          <w:tcPr>
            <w:tcW w:w="3385" w:type="dxa"/>
            <w:vMerge w:val="continue"/>
          </w:tcPr>
          <w:p w14:paraId="0E51D9DB">
            <w:pPr>
              <w:keepNext w:val="0"/>
              <w:keepLines w:val="0"/>
              <w:pageBreakBefore w:val="0"/>
              <w:widowControl w:val="0"/>
              <w:kinsoku/>
              <w:wordWrap/>
              <w:overflowPunct/>
              <w:topLinePunct w:val="0"/>
              <w:autoSpaceDE/>
              <w:autoSpaceDN/>
              <w:bidi w:val="0"/>
              <w:spacing w:line="540" w:lineRule="exact"/>
              <w:jc w:val="left"/>
              <w:textAlignment w:val="auto"/>
              <w:rPr>
                <w:rFonts w:hint="eastAsia" w:ascii="仿宋_GB2312" w:hAnsi="仿宋_GB2312" w:eastAsia="仿宋_GB2312" w:cs="仿宋_GB2312"/>
                <w:b w:val="0"/>
                <w:bCs w:val="0"/>
                <w:snapToGrid/>
                <w:color w:val="auto"/>
                <w:sz w:val="32"/>
                <w:szCs w:val="32"/>
                <w:lang w:eastAsia="zh-CN"/>
              </w:rPr>
            </w:pPr>
          </w:p>
        </w:tc>
      </w:tr>
      <w:tr w14:paraId="4C7A9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jc w:val="center"/>
        </w:trPr>
        <w:tc>
          <w:tcPr>
            <w:tcW w:w="1780" w:type="dxa"/>
          </w:tcPr>
          <w:p w14:paraId="4DF086E6">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全国性行业学会</w:t>
            </w:r>
          </w:p>
        </w:tc>
        <w:tc>
          <w:tcPr>
            <w:tcW w:w="2639" w:type="dxa"/>
          </w:tcPr>
          <w:p w14:paraId="1F740970">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特等：400分</w:t>
            </w:r>
          </w:p>
          <w:p w14:paraId="419AC609">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一等：200分</w:t>
            </w:r>
          </w:p>
          <w:p w14:paraId="69AC1185">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snapToGrid/>
                <w:color w:val="auto"/>
                <w:sz w:val="32"/>
                <w:szCs w:val="32"/>
                <w:lang w:eastAsia="zh-CN"/>
              </w:rPr>
              <w:t>二等：100分</w:t>
            </w:r>
          </w:p>
          <w:p w14:paraId="09291BBF">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三等奖：50分</w:t>
            </w:r>
          </w:p>
        </w:tc>
        <w:tc>
          <w:tcPr>
            <w:tcW w:w="3385" w:type="dxa"/>
          </w:tcPr>
          <w:p w14:paraId="091A2E9B">
            <w:pPr>
              <w:keepNext w:val="0"/>
              <w:keepLines w:val="0"/>
              <w:pageBreakBefore w:val="0"/>
              <w:widowControl w:val="0"/>
              <w:kinsoku/>
              <w:wordWrap/>
              <w:overflowPunct/>
              <w:topLinePunct w:val="0"/>
              <w:autoSpaceDE/>
              <w:autoSpaceDN/>
              <w:bidi w:val="0"/>
              <w:spacing w:line="540" w:lineRule="exact"/>
              <w:jc w:val="left"/>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highlight w:val="none"/>
                <w:lang w:eastAsia="zh-CN"/>
              </w:rPr>
              <w:t>行业学会为本学科专业领域具有国家级奖励推荐资格的权威行业学会。不具有国家级奖励推荐资格行业学会评选的奖励成果加分值乘以50%。</w:t>
            </w:r>
          </w:p>
        </w:tc>
      </w:tr>
    </w:tbl>
    <w:p w14:paraId="15FE9DCF">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说明：</w:t>
      </w:r>
    </w:p>
    <w:p w14:paraId="63F8CF63">
      <w:pPr>
        <w:keepNext w:val="0"/>
        <w:keepLines w:val="0"/>
        <w:pageBreakBefore w:val="0"/>
        <w:widowControl w:val="0"/>
        <w:kinsoku/>
        <w:wordWrap/>
        <w:overflowPunct/>
        <w:topLinePunct w:val="0"/>
        <w:autoSpaceDE/>
        <w:autoSpaceDN/>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（1）国家级、省级奖励包括国家科技部、各省</w:t>
      </w:r>
      <w:r>
        <w:rPr>
          <w:rFonts w:hint="eastAsia" w:ascii="仿宋_GB2312" w:hAnsi="仿宋_GB2312" w:eastAsia="仿宋_GB2312" w:cs="仿宋_GB2312"/>
          <w:b w:val="0"/>
          <w:bCs w:val="0"/>
          <w:snapToGrid/>
          <w:color w:val="auto"/>
          <w:sz w:val="32"/>
          <w:szCs w:val="32"/>
          <w:lang w:val="en-US" w:eastAsia="zh-CN"/>
        </w:rPr>
        <w:t>/直辖市</w:t>
      </w:r>
      <w:r>
        <w:rPr>
          <w:rFonts w:hint="eastAsia" w:ascii="仿宋_GB2312" w:hAnsi="仿宋_GB2312" w:eastAsia="仿宋_GB2312" w:cs="仿宋_GB2312"/>
          <w:b w:val="0"/>
          <w:bCs w:val="0"/>
          <w:snapToGrid/>
          <w:color w:val="auto"/>
          <w:sz w:val="32"/>
          <w:szCs w:val="32"/>
          <w:lang w:eastAsia="zh-CN"/>
        </w:rPr>
        <w:t>（科技厅）组织的自然科学奖、科技进步奖、技术发明奖。</w:t>
      </w:r>
    </w:p>
    <w:p w14:paraId="5B38E3DA">
      <w:pPr>
        <w:keepNext w:val="0"/>
        <w:keepLines w:val="0"/>
        <w:pageBreakBefore w:val="0"/>
        <w:widowControl w:val="0"/>
        <w:kinsoku/>
        <w:wordWrap/>
        <w:overflowPunct/>
        <w:topLinePunct w:val="0"/>
        <w:autoSpaceDE/>
        <w:autoSpaceDN/>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lang w:eastAsia="zh-CN"/>
        </w:rPr>
        <w:t>（2）</w:t>
      </w:r>
      <w:r>
        <w:rPr>
          <w:rFonts w:hint="eastAsia" w:ascii="仿宋_GB2312" w:hAnsi="仿宋_GB2312" w:eastAsia="仿宋_GB2312" w:cs="仿宋_GB2312"/>
          <w:b w:val="0"/>
          <w:bCs w:val="0"/>
          <w:snapToGrid/>
          <w:color w:val="auto"/>
          <w:sz w:val="32"/>
          <w:szCs w:val="32"/>
          <w:highlight w:val="none"/>
          <w:lang w:eastAsia="zh-CN"/>
        </w:rPr>
        <w:t>全国性行业学会应为本学科专业相关的权威学会，是否具有参评资格由研究生奖助金评审委员会进行认定。</w:t>
      </w:r>
    </w:p>
    <w:p w14:paraId="377D6917">
      <w:pPr>
        <w:keepNext w:val="0"/>
        <w:keepLines w:val="0"/>
        <w:pageBreakBefore w:val="0"/>
        <w:widowControl w:val="0"/>
        <w:kinsoku/>
        <w:wordWrap/>
        <w:overflowPunct/>
        <w:topLinePunct w:val="0"/>
        <w:autoSpaceDE/>
        <w:autoSpaceDN/>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val="en-US" w:eastAsia="zh-CN"/>
        </w:rPr>
      </w:pPr>
      <w:r>
        <w:rPr>
          <w:rFonts w:hint="eastAsia" w:ascii="仿宋_GB2312" w:hAnsi="仿宋_GB2312" w:eastAsia="仿宋_GB2312" w:cs="仿宋_GB2312"/>
          <w:b w:val="0"/>
          <w:bCs w:val="0"/>
          <w:snapToGrid/>
          <w:color w:val="auto"/>
          <w:sz w:val="32"/>
          <w:szCs w:val="32"/>
          <w:lang w:eastAsia="zh-CN"/>
        </w:rPr>
        <w:t>（3）成果完成人排名第1，系数为1.0；排名第2-5，系数为0.8；排名</w:t>
      </w:r>
      <w:r>
        <w:rPr>
          <w:rFonts w:hint="eastAsia" w:ascii="仿宋_GB2312" w:hAnsi="仿宋_GB2312" w:eastAsia="仿宋_GB2312" w:cs="仿宋_GB2312"/>
          <w:b w:val="0"/>
          <w:bCs w:val="0"/>
          <w:snapToGrid/>
          <w:color w:val="auto"/>
          <w:sz w:val="32"/>
          <w:szCs w:val="32"/>
          <w:lang w:val="en-US" w:eastAsia="zh-CN"/>
        </w:rPr>
        <w:t>6-10</w:t>
      </w:r>
      <w:r>
        <w:rPr>
          <w:rFonts w:hint="eastAsia" w:ascii="仿宋_GB2312" w:hAnsi="仿宋_GB2312" w:eastAsia="仿宋_GB2312" w:cs="仿宋_GB2312"/>
          <w:b w:val="0"/>
          <w:bCs w:val="0"/>
          <w:snapToGrid/>
          <w:color w:val="auto"/>
          <w:sz w:val="32"/>
          <w:szCs w:val="32"/>
          <w:lang w:eastAsia="zh-CN"/>
        </w:rPr>
        <w:t>，系数为0.5；</w:t>
      </w:r>
      <w:r>
        <w:rPr>
          <w:rFonts w:hint="eastAsia" w:ascii="仿宋_GB2312" w:hAnsi="仿宋_GB2312" w:eastAsia="仿宋_GB2312" w:cs="仿宋_GB2312"/>
          <w:b w:val="0"/>
          <w:bCs w:val="0"/>
          <w:snapToGrid/>
          <w:color w:val="auto"/>
          <w:sz w:val="32"/>
          <w:szCs w:val="32"/>
          <w:lang w:val="en-US" w:eastAsia="zh-CN"/>
        </w:rPr>
        <w:t>11名及以后系数为0.3。</w:t>
      </w:r>
    </w:p>
    <w:p w14:paraId="0330DE69">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 xml:space="preserve">                    </w:t>
      </w:r>
      <w:r>
        <w:rPr>
          <w:rFonts w:hint="eastAsia" w:ascii="黑体" w:hAnsi="黑体" w:eastAsia="黑体" w:cs="黑体"/>
          <w:b w:val="0"/>
          <w:bCs w:val="0"/>
          <w:snapToGrid/>
          <w:color w:val="auto"/>
          <w:sz w:val="32"/>
          <w:szCs w:val="32"/>
          <w:lang w:val="en-US" w:eastAsia="zh-CN"/>
        </w:rPr>
        <w:t>第四章 综合拓展加分</w:t>
      </w:r>
    </w:p>
    <w:p w14:paraId="6373CF3A">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jc w:val="both"/>
        <w:textAlignment w:val="auto"/>
        <w:outlineLvl w:val="0"/>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bCs/>
          <w:snapToGrid/>
          <w:color w:val="auto"/>
          <w:sz w:val="32"/>
          <w:szCs w:val="32"/>
          <w:lang w:val="en-US" w:eastAsia="zh-CN"/>
        </w:rPr>
        <w:t>第八条</w:t>
      </w:r>
      <w:r>
        <w:rPr>
          <w:rFonts w:hint="eastAsia" w:ascii="仿宋_GB2312" w:hAnsi="仿宋_GB2312" w:eastAsia="仿宋_GB2312" w:cs="仿宋_GB2312"/>
          <w:b w:val="0"/>
          <w:bCs w:val="0"/>
          <w:snapToGrid/>
          <w:color w:val="auto"/>
          <w:sz w:val="32"/>
          <w:szCs w:val="32"/>
          <w:lang w:val="en-US" w:eastAsia="zh-CN"/>
        </w:rPr>
        <w:t xml:space="preserve"> </w:t>
      </w:r>
      <w:r>
        <w:rPr>
          <w:rFonts w:hint="eastAsia" w:ascii="仿宋_GB2312" w:hAnsi="仿宋_GB2312" w:eastAsia="仿宋_GB2312" w:cs="仿宋_GB2312"/>
          <w:b w:val="0"/>
          <w:bCs w:val="0"/>
          <w:snapToGrid/>
          <w:color w:val="auto"/>
          <w:sz w:val="32"/>
          <w:szCs w:val="32"/>
          <w:lang w:eastAsia="zh-CN"/>
        </w:rPr>
        <w:t>学术会议加分</w:t>
      </w:r>
    </w:p>
    <w:tbl>
      <w:tblPr>
        <w:tblStyle w:val="9"/>
        <w:tblW w:w="9510" w:type="dxa"/>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0"/>
        <w:gridCol w:w="2711"/>
        <w:gridCol w:w="4879"/>
      </w:tblGrid>
      <w:tr w14:paraId="2F791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0" w:type="dxa"/>
          </w:tcPr>
          <w:p w14:paraId="6CE1E024">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加分类别</w:t>
            </w:r>
          </w:p>
        </w:tc>
        <w:tc>
          <w:tcPr>
            <w:tcW w:w="2711" w:type="dxa"/>
          </w:tcPr>
          <w:p w14:paraId="3060AE34">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分值</w:t>
            </w:r>
          </w:p>
        </w:tc>
        <w:tc>
          <w:tcPr>
            <w:tcW w:w="4879" w:type="dxa"/>
          </w:tcPr>
          <w:p w14:paraId="0807D4BD">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备注</w:t>
            </w:r>
          </w:p>
        </w:tc>
      </w:tr>
      <w:tr w14:paraId="1767D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20" w:type="dxa"/>
            <w:vAlign w:val="center"/>
          </w:tcPr>
          <w:p w14:paraId="52FF4172">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bookmarkStart w:id="1" w:name="_Hlk198633507"/>
            <w:r>
              <w:rPr>
                <w:rFonts w:hint="eastAsia" w:ascii="仿宋_GB2312" w:hAnsi="仿宋_GB2312" w:eastAsia="仿宋_GB2312" w:cs="仿宋_GB2312"/>
                <w:b w:val="0"/>
                <w:bCs w:val="0"/>
                <w:snapToGrid/>
                <w:color w:val="auto"/>
                <w:sz w:val="32"/>
                <w:szCs w:val="32"/>
                <w:lang w:eastAsia="zh-CN"/>
              </w:rPr>
              <w:t>会议论文</w:t>
            </w:r>
          </w:p>
        </w:tc>
        <w:tc>
          <w:tcPr>
            <w:tcW w:w="2711" w:type="dxa"/>
            <w:vAlign w:val="center"/>
          </w:tcPr>
          <w:p w14:paraId="257E8908">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3</w:t>
            </w:r>
          </w:p>
        </w:tc>
        <w:tc>
          <w:tcPr>
            <w:tcW w:w="4879" w:type="dxa"/>
            <w:vMerge w:val="restart"/>
          </w:tcPr>
          <w:p w14:paraId="025BD0DA">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lang w:val="en-US" w:eastAsia="zh-CN"/>
              </w:rPr>
            </w:pPr>
            <w:r>
              <w:rPr>
                <w:rFonts w:hint="eastAsia" w:ascii="仿宋_GB2312" w:hAnsi="仿宋_GB2312" w:eastAsia="仿宋_GB2312" w:cs="仿宋_GB2312"/>
                <w:b w:val="0"/>
                <w:bCs w:val="0"/>
                <w:snapToGrid/>
                <w:color w:val="auto"/>
                <w:sz w:val="32"/>
                <w:szCs w:val="32"/>
                <w:lang w:eastAsia="zh-CN"/>
              </w:rPr>
              <w:t>本项（含论文、报告、展示3类）参评周期总加分上限为6分。</w:t>
            </w:r>
          </w:p>
        </w:tc>
      </w:tr>
      <w:tr w14:paraId="62DD4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920" w:type="dxa"/>
            <w:vAlign w:val="center"/>
          </w:tcPr>
          <w:p w14:paraId="06FA4828">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口头报告</w:t>
            </w:r>
          </w:p>
        </w:tc>
        <w:tc>
          <w:tcPr>
            <w:tcW w:w="2711" w:type="dxa"/>
            <w:vAlign w:val="center"/>
          </w:tcPr>
          <w:p w14:paraId="4AAEE0E6">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2</w:t>
            </w:r>
          </w:p>
        </w:tc>
        <w:tc>
          <w:tcPr>
            <w:tcW w:w="4879" w:type="dxa"/>
            <w:vMerge w:val="continue"/>
          </w:tcPr>
          <w:p w14:paraId="31F6C480">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p>
        </w:tc>
      </w:tr>
      <w:tr w14:paraId="1E870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1920" w:type="dxa"/>
            <w:vAlign w:val="center"/>
          </w:tcPr>
          <w:p w14:paraId="5CFBE04B">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海报展示</w:t>
            </w:r>
          </w:p>
        </w:tc>
        <w:tc>
          <w:tcPr>
            <w:tcW w:w="2711" w:type="dxa"/>
            <w:vAlign w:val="center"/>
          </w:tcPr>
          <w:p w14:paraId="45D87E47">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_GB2312" w:hAnsi="仿宋_GB2312" w:eastAsia="仿宋_GB2312" w:cs="仿宋_GB2312"/>
                <w:b w:val="0"/>
                <w:bCs w:val="0"/>
                <w:snapToGrid/>
                <w:color w:val="auto"/>
                <w:sz w:val="32"/>
                <w:szCs w:val="32"/>
                <w:lang w:val="en-US" w:eastAsia="zh-CN"/>
              </w:rPr>
            </w:pPr>
            <w:r>
              <w:rPr>
                <w:rFonts w:hint="eastAsia" w:ascii="仿宋_GB2312" w:hAnsi="仿宋_GB2312" w:eastAsia="仿宋_GB2312" w:cs="仿宋_GB2312"/>
                <w:b w:val="0"/>
                <w:bCs w:val="0"/>
                <w:snapToGrid/>
                <w:color w:val="auto"/>
                <w:sz w:val="32"/>
                <w:szCs w:val="32"/>
                <w:lang w:val="en-US" w:eastAsia="zh-CN"/>
              </w:rPr>
              <w:t>0.5</w:t>
            </w:r>
          </w:p>
        </w:tc>
        <w:tc>
          <w:tcPr>
            <w:tcW w:w="4879" w:type="dxa"/>
            <w:vMerge w:val="continue"/>
          </w:tcPr>
          <w:p w14:paraId="1D714C40">
            <w:pPr>
              <w:keepNext w:val="0"/>
              <w:keepLines w:val="0"/>
              <w:pageBreakBefore w:val="0"/>
              <w:widowControl w:val="0"/>
              <w:kinsoku/>
              <w:wordWrap/>
              <w:overflowPunct/>
              <w:topLinePunct w:val="0"/>
              <w:autoSpaceDE/>
              <w:autoSpaceDN/>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p>
        </w:tc>
      </w:tr>
      <w:bookmarkEnd w:id="1"/>
    </w:tbl>
    <w:p w14:paraId="08C1FB36">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p>
    <w:p w14:paraId="3C30D27F">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说明：</w:t>
      </w:r>
    </w:p>
    <w:p w14:paraId="38082515">
      <w:pPr>
        <w:keepNext w:val="0"/>
        <w:keepLines w:val="0"/>
        <w:pageBreakBefore w:val="0"/>
        <w:widowControl w:val="0"/>
        <w:kinsoku/>
        <w:wordWrap/>
        <w:overflowPunct/>
        <w:topLinePunct w:val="0"/>
        <w:autoSpaceDE/>
        <w:autoSpaceDN/>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1</w:t>
      </w:r>
      <w:r>
        <w:rPr>
          <w:rFonts w:hint="eastAsia" w:ascii="仿宋_GB2312" w:hAnsi="仿宋_GB2312" w:eastAsia="仿宋_GB2312" w:cs="仿宋_GB2312"/>
          <w:b w:val="0"/>
          <w:bCs w:val="0"/>
          <w:snapToGrid/>
          <w:color w:val="auto"/>
          <w:sz w:val="32"/>
          <w:szCs w:val="32"/>
          <w:lang w:eastAsia="zh-CN"/>
        </w:rPr>
        <w:t>）参加的学术会议必须是由学会/协会/专业委员会等官方组织在参评年度内举办的。</w:t>
      </w:r>
    </w:p>
    <w:p w14:paraId="2B837364">
      <w:pPr>
        <w:keepNext w:val="0"/>
        <w:keepLines w:val="0"/>
        <w:pageBreakBefore w:val="0"/>
        <w:widowControl w:val="0"/>
        <w:kinsoku/>
        <w:wordWrap/>
        <w:overflowPunct/>
        <w:topLinePunct w:val="0"/>
        <w:autoSpaceDE/>
        <w:autoSpaceDN/>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2</w:t>
      </w:r>
      <w:r>
        <w:rPr>
          <w:rFonts w:hint="eastAsia" w:ascii="仿宋_GB2312" w:hAnsi="仿宋_GB2312" w:eastAsia="仿宋_GB2312" w:cs="仿宋_GB2312"/>
          <w:b w:val="0"/>
          <w:bCs w:val="0"/>
          <w:snapToGrid/>
          <w:color w:val="auto"/>
          <w:sz w:val="32"/>
          <w:szCs w:val="32"/>
          <w:lang w:eastAsia="zh-CN"/>
        </w:rPr>
        <w:t>）此项加分需要提供以下材料:会议论文集封面、会议邀请函、会议日程表、参加会议车票住宿等行程证明复印件、论文收录号、投稿论文全文、论文集目录等。</w:t>
      </w:r>
    </w:p>
    <w:p w14:paraId="6CEE9838">
      <w:pPr>
        <w:keepNext w:val="0"/>
        <w:keepLines w:val="0"/>
        <w:pageBreakBefore w:val="0"/>
        <w:widowControl w:val="0"/>
        <w:kinsoku/>
        <w:wordWrap/>
        <w:overflowPunct/>
        <w:topLinePunct w:val="0"/>
        <w:autoSpaceDE/>
        <w:autoSpaceDN/>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3</w:t>
      </w:r>
      <w:r>
        <w:rPr>
          <w:rFonts w:hint="eastAsia" w:ascii="仿宋_GB2312" w:hAnsi="仿宋_GB2312" w:eastAsia="仿宋_GB2312" w:cs="仿宋_GB2312"/>
          <w:b w:val="0"/>
          <w:bCs w:val="0"/>
          <w:snapToGrid/>
          <w:color w:val="auto"/>
          <w:sz w:val="32"/>
          <w:szCs w:val="32"/>
          <w:lang w:eastAsia="zh-CN"/>
        </w:rPr>
        <w:t>）会议论文仅第一作者加分。</w:t>
      </w:r>
    </w:p>
    <w:p w14:paraId="185294D5">
      <w:pPr>
        <w:keepNext w:val="0"/>
        <w:keepLines w:val="0"/>
        <w:pageBreakBefore w:val="0"/>
        <w:widowControl w:val="0"/>
        <w:kinsoku/>
        <w:wordWrap/>
        <w:overflowPunct/>
        <w:topLinePunct w:val="0"/>
        <w:autoSpaceDE/>
        <w:autoSpaceDN/>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4</w:t>
      </w:r>
      <w:r>
        <w:rPr>
          <w:rFonts w:hint="eastAsia" w:ascii="仿宋_GB2312" w:hAnsi="仿宋_GB2312" w:eastAsia="仿宋_GB2312" w:cs="仿宋_GB2312"/>
          <w:b w:val="0"/>
          <w:bCs w:val="0"/>
          <w:snapToGrid/>
          <w:color w:val="auto"/>
          <w:sz w:val="32"/>
          <w:szCs w:val="32"/>
          <w:lang w:eastAsia="zh-CN"/>
        </w:rPr>
        <w:t>）以相同的学术内容参加不同的学术会议，或在一场会议中同时完成了口头报告和墙报，均只计最高分1次。</w:t>
      </w:r>
    </w:p>
    <w:p w14:paraId="332465DA">
      <w:pPr>
        <w:keepNext w:val="0"/>
        <w:keepLines w:val="0"/>
        <w:pageBreakBefore w:val="0"/>
        <w:widowControl w:val="0"/>
        <w:kinsoku/>
        <w:wordWrap/>
        <w:overflowPunct/>
        <w:topLinePunct w:val="0"/>
        <w:autoSpaceDE/>
        <w:autoSpaceDN/>
        <w:bidi w:val="0"/>
        <w:spacing w:line="540" w:lineRule="exact"/>
        <w:ind w:firstLine="643"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bCs/>
          <w:snapToGrid/>
          <w:color w:val="auto"/>
          <w:sz w:val="32"/>
          <w:szCs w:val="32"/>
          <w:lang w:val="en-US" w:eastAsia="zh-CN"/>
        </w:rPr>
        <w:t>第九条</w:t>
      </w:r>
      <w:r>
        <w:rPr>
          <w:rFonts w:hint="eastAsia" w:ascii="仿宋_GB2312" w:hAnsi="仿宋_GB2312" w:eastAsia="仿宋_GB2312" w:cs="仿宋_GB2312"/>
          <w:b w:val="0"/>
          <w:bCs w:val="0"/>
          <w:snapToGrid/>
          <w:color w:val="auto"/>
          <w:sz w:val="32"/>
          <w:szCs w:val="32"/>
          <w:lang w:val="en-US" w:eastAsia="zh-CN"/>
        </w:rPr>
        <w:t xml:space="preserve"> </w:t>
      </w:r>
      <w:r>
        <w:rPr>
          <w:rFonts w:hint="eastAsia" w:ascii="仿宋_GB2312" w:hAnsi="仿宋_GB2312" w:eastAsia="仿宋_GB2312" w:cs="仿宋_GB2312"/>
          <w:b w:val="0"/>
          <w:bCs w:val="0"/>
          <w:snapToGrid/>
          <w:color w:val="auto"/>
          <w:sz w:val="32"/>
          <w:szCs w:val="32"/>
          <w:lang w:eastAsia="zh-CN"/>
        </w:rPr>
        <w:t>科研基金立项</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8"/>
        <w:gridCol w:w="1713"/>
        <w:gridCol w:w="1713"/>
        <w:gridCol w:w="1698"/>
        <w:gridCol w:w="1698"/>
      </w:tblGrid>
      <w:tr w14:paraId="571F9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8" w:type="dxa"/>
          </w:tcPr>
          <w:p w14:paraId="1664380F">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项目</w:t>
            </w:r>
          </w:p>
        </w:tc>
        <w:tc>
          <w:tcPr>
            <w:tcW w:w="1713" w:type="dxa"/>
          </w:tcPr>
          <w:p w14:paraId="1DC76574">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国家自然科学基金青年学生基础研究项目(博士研究生)</w:t>
            </w:r>
          </w:p>
        </w:tc>
        <w:tc>
          <w:tcPr>
            <w:tcW w:w="1713" w:type="dxa"/>
          </w:tcPr>
          <w:p w14:paraId="058BC9FE">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中国科协青年人才托举工程博士生专项计划</w:t>
            </w:r>
          </w:p>
        </w:tc>
        <w:tc>
          <w:tcPr>
            <w:tcW w:w="1698" w:type="dxa"/>
          </w:tcPr>
          <w:p w14:paraId="5ED0C740">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中山大学研究</w:t>
            </w:r>
            <w:r>
              <w:rPr>
                <w:rFonts w:hint="eastAsia" w:ascii="仿宋_GB2312" w:hAnsi="仿宋_GB2312" w:eastAsia="仿宋_GB2312" w:cs="仿宋_GB2312"/>
                <w:b w:val="0"/>
                <w:bCs w:val="0"/>
                <w:snapToGrid/>
                <w:color w:val="auto"/>
                <w:sz w:val="32"/>
                <w:szCs w:val="32"/>
                <w:lang w:val="en-US" w:eastAsia="zh-CN"/>
              </w:rPr>
              <w:t>生</w:t>
            </w:r>
            <w:r>
              <w:rPr>
                <w:rFonts w:hint="eastAsia" w:ascii="仿宋_GB2312" w:hAnsi="仿宋_GB2312" w:eastAsia="仿宋_GB2312" w:cs="仿宋_GB2312"/>
                <w:b w:val="0"/>
                <w:bCs w:val="0"/>
                <w:snapToGrid/>
                <w:color w:val="auto"/>
                <w:sz w:val="32"/>
                <w:szCs w:val="32"/>
                <w:lang w:eastAsia="zh-CN"/>
              </w:rPr>
              <w:t>“逸仙学术之星”</w:t>
            </w:r>
          </w:p>
        </w:tc>
        <w:tc>
          <w:tcPr>
            <w:tcW w:w="1698" w:type="dxa"/>
          </w:tcPr>
          <w:p w14:paraId="1BDDB73B">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中山大学研究生教育创新计划项目</w:t>
            </w:r>
          </w:p>
        </w:tc>
      </w:tr>
      <w:tr w14:paraId="3CD1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8" w:type="dxa"/>
          </w:tcPr>
          <w:p w14:paraId="55B7A5CF">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得分</w:t>
            </w:r>
          </w:p>
        </w:tc>
        <w:tc>
          <w:tcPr>
            <w:tcW w:w="1713" w:type="dxa"/>
          </w:tcPr>
          <w:p w14:paraId="0160E34D">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200</w:t>
            </w:r>
          </w:p>
        </w:tc>
        <w:tc>
          <w:tcPr>
            <w:tcW w:w="1713" w:type="dxa"/>
          </w:tcPr>
          <w:p w14:paraId="7CFCA011">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100</w:t>
            </w:r>
          </w:p>
        </w:tc>
        <w:tc>
          <w:tcPr>
            <w:tcW w:w="1698" w:type="dxa"/>
          </w:tcPr>
          <w:p w14:paraId="029594A2">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50</w:t>
            </w:r>
          </w:p>
        </w:tc>
        <w:tc>
          <w:tcPr>
            <w:tcW w:w="1698" w:type="dxa"/>
          </w:tcPr>
          <w:p w14:paraId="4251EB6F">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val="en-US" w:eastAsia="zh-CN"/>
              </w:rPr>
            </w:pPr>
            <w:r>
              <w:rPr>
                <w:rFonts w:hint="eastAsia" w:ascii="仿宋_GB2312" w:hAnsi="仿宋_GB2312" w:eastAsia="仿宋_GB2312" w:cs="仿宋_GB2312"/>
                <w:b w:val="0"/>
                <w:bCs w:val="0"/>
                <w:snapToGrid/>
                <w:color w:val="auto"/>
                <w:sz w:val="32"/>
                <w:szCs w:val="32"/>
                <w:lang w:val="en-US" w:eastAsia="zh-CN"/>
              </w:rPr>
              <w:t>30</w:t>
            </w:r>
          </w:p>
        </w:tc>
      </w:tr>
    </w:tbl>
    <w:p w14:paraId="53850EC7">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说明：</w:t>
      </w:r>
    </w:p>
    <w:p w14:paraId="13B11872">
      <w:pPr>
        <w:keepNext w:val="0"/>
        <w:keepLines w:val="0"/>
        <w:pageBreakBefore w:val="0"/>
        <w:numPr>
          <w:ilvl w:val="0"/>
          <w:numId w:val="0"/>
        </w:numPr>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以上分值为项目分值，限项目主持人加分。</w:t>
      </w:r>
    </w:p>
    <w:p w14:paraId="0C0378BA">
      <w:pPr>
        <w:keepNext w:val="0"/>
        <w:keepLines w:val="0"/>
        <w:pageBreakBefore w:val="0"/>
        <w:widowControl w:val="0"/>
        <w:kinsoku/>
        <w:wordWrap/>
        <w:overflowPunct/>
        <w:topLinePunct w:val="0"/>
        <w:autoSpaceDE/>
        <w:autoSpaceDN/>
        <w:bidi w:val="0"/>
        <w:spacing w:line="540" w:lineRule="exact"/>
        <w:ind w:firstLine="643"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bCs/>
          <w:snapToGrid/>
          <w:color w:val="auto"/>
          <w:sz w:val="32"/>
          <w:szCs w:val="32"/>
          <w:lang w:val="en-US" w:eastAsia="zh-CN"/>
        </w:rPr>
        <w:t xml:space="preserve">第十条 </w:t>
      </w:r>
      <w:r>
        <w:rPr>
          <w:rFonts w:hint="eastAsia" w:ascii="仿宋_GB2312" w:hAnsi="仿宋_GB2312" w:eastAsia="仿宋_GB2312" w:cs="仿宋_GB2312"/>
          <w:b w:val="0"/>
          <w:bCs w:val="0"/>
          <w:snapToGrid/>
          <w:color w:val="auto"/>
          <w:sz w:val="32"/>
          <w:szCs w:val="32"/>
          <w:lang w:eastAsia="zh-CN"/>
        </w:rPr>
        <w:t>优秀实习和实践报告</w:t>
      </w:r>
    </w:p>
    <w:tbl>
      <w:tblPr>
        <w:tblStyle w:val="9"/>
        <w:tblW w:w="85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2"/>
        <w:gridCol w:w="1501"/>
        <w:gridCol w:w="1501"/>
        <w:gridCol w:w="1501"/>
        <w:gridCol w:w="2269"/>
      </w:tblGrid>
      <w:tr w14:paraId="6F820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top"/>
          </w:tcPr>
          <w:p w14:paraId="7C3B2A98">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28"/>
                <w:szCs w:val="28"/>
                <w:lang w:eastAsia="zh-CN"/>
              </w:rPr>
            </w:pPr>
            <w:r>
              <w:rPr>
                <w:rFonts w:hint="eastAsia" w:ascii="仿宋_GB2312" w:hAnsi="仿宋_GB2312" w:eastAsia="仿宋_GB2312" w:cs="仿宋_GB2312"/>
                <w:b w:val="0"/>
                <w:bCs w:val="0"/>
                <w:snapToGrid/>
                <w:color w:val="auto"/>
                <w:sz w:val="28"/>
                <w:szCs w:val="28"/>
                <w:lang w:eastAsia="zh-CN"/>
              </w:rPr>
              <w:t>级别</w:t>
            </w:r>
          </w:p>
        </w:tc>
        <w:tc>
          <w:tcPr>
            <w:tcW w:w="1417" w:type="dxa"/>
            <w:vAlign w:val="top"/>
          </w:tcPr>
          <w:p w14:paraId="04DDFDD0">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28"/>
                <w:szCs w:val="28"/>
                <w:lang w:eastAsia="zh-CN"/>
              </w:rPr>
            </w:pPr>
            <w:r>
              <w:rPr>
                <w:rFonts w:hint="eastAsia" w:ascii="仿宋_GB2312" w:hAnsi="仿宋_GB2312" w:eastAsia="仿宋_GB2312" w:cs="仿宋_GB2312"/>
                <w:b w:val="0"/>
                <w:bCs w:val="0"/>
                <w:snapToGrid/>
                <w:color w:val="auto"/>
                <w:sz w:val="28"/>
                <w:szCs w:val="28"/>
                <w:lang w:eastAsia="zh-CN"/>
              </w:rPr>
              <w:t>一等奖</w:t>
            </w:r>
          </w:p>
        </w:tc>
        <w:tc>
          <w:tcPr>
            <w:tcW w:w="1417" w:type="dxa"/>
            <w:vAlign w:val="top"/>
          </w:tcPr>
          <w:p w14:paraId="535EB9F3">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28"/>
                <w:szCs w:val="28"/>
                <w:lang w:eastAsia="zh-CN"/>
              </w:rPr>
            </w:pPr>
            <w:r>
              <w:rPr>
                <w:rFonts w:hint="eastAsia" w:ascii="仿宋_GB2312" w:hAnsi="仿宋_GB2312" w:eastAsia="仿宋_GB2312" w:cs="仿宋_GB2312"/>
                <w:b w:val="0"/>
                <w:bCs w:val="0"/>
                <w:snapToGrid/>
                <w:color w:val="auto"/>
                <w:sz w:val="28"/>
                <w:szCs w:val="28"/>
                <w:lang w:eastAsia="zh-CN"/>
              </w:rPr>
              <w:t>二等奖</w:t>
            </w:r>
          </w:p>
        </w:tc>
        <w:tc>
          <w:tcPr>
            <w:tcW w:w="1417" w:type="dxa"/>
            <w:vAlign w:val="top"/>
          </w:tcPr>
          <w:p w14:paraId="7410919D">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28"/>
                <w:szCs w:val="28"/>
                <w:lang w:eastAsia="zh-CN"/>
              </w:rPr>
            </w:pPr>
            <w:r>
              <w:rPr>
                <w:rFonts w:hint="eastAsia" w:ascii="仿宋_GB2312" w:hAnsi="仿宋_GB2312" w:eastAsia="仿宋_GB2312" w:cs="仿宋_GB2312"/>
                <w:b w:val="0"/>
                <w:bCs w:val="0"/>
                <w:snapToGrid/>
                <w:color w:val="auto"/>
                <w:sz w:val="28"/>
                <w:szCs w:val="28"/>
                <w:lang w:eastAsia="zh-CN"/>
              </w:rPr>
              <w:t>三等奖</w:t>
            </w:r>
          </w:p>
        </w:tc>
        <w:tc>
          <w:tcPr>
            <w:tcW w:w="2142" w:type="dxa"/>
          </w:tcPr>
          <w:p w14:paraId="3AAF3B48">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28"/>
                <w:szCs w:val="28"/>
                <w:lang w:eastAsia="zh-CN"/>
              </w:rPr>
            </w:pPr>
            <w:r>
              <w:rPr>
                <w:rFonts w:hint="eastAsia" w:ascii="仿宋_GB2312" w:hAnsi="仿宋_GB2312" w:eastAsia="仿宋_GB2312" w:cs="仿宋_GB2312"/>
                <w:b w:val="0"/>
                <w:bCs w:val="0"/>
                <w:snapToGrid/>
                <w:color w:val="auto"/>
                <w:sz w:val="28"/>
                <w:szCs w:val="28"/>
                <w:lang w:eastAsia="zh-CN"/>
              </w:rPr>
              <w:t>备注</w:t>
            </w:r>
          </w:p>
        </w:tc>
      </w:tr>
      <w:tr w14:paraId="1B574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top"/>
          </w:tcPr>
          <w:p w14:paraId="6B565B5C">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28"/>
                <w:szCs w:val="28"/>
                <w:lang w:eastAsia="zh-CN"/>
              </w:rPr>
            </w:pPr>
            <w:r>
              <w:rPr>
                <w:rFonts w:hint="eastAsia" w:ascii="仿宋_GB2312" w:hAnsi="仿宋_GB2312" w:eastAsia="仿宋_GB2312" w:cs="仿宋_GB2312"/>
                <w:b w:val="0"/>
                <w:bCs w:val="0"/>
                <w:snapToGrid/>
                <w:color w:val="auto"/>
                <w:sz w:val="28"/>
                <w:szCs w:val="28"/>
                <w:lang w:eastAsia="zh-CN"/>
              </w:rPr>
              <w:t>实习类</w:t>
            </w:r>
          </w:p>
        </w:tc>
        <w:tc>
          <w:tcPr>
            <w:tcW w:w="1417" w:type="dxa"/>
            <w:vAlign w:val="top"/>
          </w:tcPr>
          <w:p w14:paraId="6AFBC5BD">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28"/>
                <w:szCs w:val="28"/>
                <w:lang w:val="en-US" w:eastAsia="zh-CN"/>
              </w:rPr>
            </w:pPr>
            <w:r>
              <w:rPr>
                <w:rFonts w:hint="eastAsia" w:ascii="仿宋_GB2312" w:hAnsi="仿宋_GB2312" w:eastAsia="仿宋_GB2312" w:cs="仿宋_GB2312"/>
                <w:b w:val="0"/>
                <w:bCs w:val="0"/>
                <w:snapToGrid/>
                <w:color w:val="auto"/>
                <w:sz w:val="28"/>
                <w:szCs w:val="28"/>
                <w:lang w:val="en-US" w:eastAsia="zh-CN"/>
              </w:rPr>
              <w:t>10</w:t>
            </w:r>
          </w:p>
        </w:tc>
        <w:tc>
          <w:tcPr>
            <w:tcW w:w="1417" w:type="dxa"/>
            <w:vAlign w:val="top"/>
          </w:tcPr>
          <w:p w14:paraId="57DDE476">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28"/>
                <w:szCs w:val="28"/>
                <w:lang w:eastAsia="zh-CN"/>
              </w:rPr>
            </w:pPr>
            <w:r>
              <w:rPr>
                <w:rFonts w:hint="eastAsia" w:ascii="仿宋_GB2312" w:hAnsi="仿宋_GB2312" w:eastAsia="仿宋_GB2312" w:cs="仿宋_GB2312"/>
                <w:b w:val="0"/>
                <w:bCs w:val="0"/>
                <w:snapToGrid/>
                <w:color w:val="auto"/>
                <w:sz w:val="28"/>
                <w:szCs w:val="28"/>
                <w:lang w:val="en-US" w:eastAsia="zh-CN"/>
              </w:rPr>
              <w:t>6</w:t>
            </w:r>
          </w:p>
        </w:tc>
        <w:tc>
          <w:tcPr>
            <w:tcW w:w="1417" w:type="dxa"/>
            <w:vAlign w:val="top"/>
          </w:tcPr>
          <w:p w14:paraId="769265FF">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28"/>
                <w:szCs w:val="28"/>
                <w:lang w:eastAsia="zh-CN"/>
              </w:rPr>
            </w:pPr>
            <w:r>
              <w:rPr>
                <w:rFonts w:hint="eastAsia" w:ascii="仿宋_GB2312" w:hAnsi="仿宋_GB2312" w:eastAsia="仿宋_GB2312" w:cs="仿宋_GB2312"/>
                <w:b w:val="0"/>
                <w:bCs w:val="0"/>
                <w:snapToGrid/>
                <w:color w:val="auto"/>
                <w:sz w:val="28"/>
                <w:szCs w:val="28"/>
                <w:lang w:val="en-US" w:eastAsia="zh-CN"/>
              </w:rPr>
              <w:t>3</w:t>
            </w:r>
          </w:p>
        </w:tc>
        <w:tc>
          <w:tcPr>
            <w:tcW w:w="2142" w:type="dxa"/>
          </w:tcPr>
          <w:p w14:paraId="695FCD63">
            <w:pPr>
              <w:keepNext w:val="0"/>
              <w:keepLines w:val="0"/>
              <w:pageBreakBefore w:val="0"/>
              <w:widowControl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28"/>
                <w:szCs w:val="28"/>
                <w:lang w:eastAsia="zh-CN"/>
              </w:rPr>
            </w:pPr>
          </w:p>
        </w:tc>
      </w:tr>
      <w:tr w14:paraId="6AB1E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top"/>
          </w:tcPr>
          <w:p w14:paraId="7DA20C04">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28"/>
                <w:szCs w:val="28"/>
                <w:lang w:eastAsia="zh-CN"/>
              </w:rPr>
            </w:pPr>
            <w:r>
              <w:rPr>
                <w:rFonts w:hint="eastAsia" w:ascii="仿宋_GB2312" w:hAnsi="仿宋_GB2312" w:eastAsia="仿宋_GB2312" w:cs="仿宋_GB2312"/>
                <w:b w:val="0"/>
                <w:bCs w:val="0"/>
                <w:snapToGrid/>
                <w:color w:val="auto"/>
                <w:sz w:val="28"/>
                <w:szCs w:val="28"/>
                <w:highlight w:val="none"/>
                <w:lang w:eastAsia="zh-CN"/>
              </w:rPr>
              <w:t>实践类</w:t>
            </w:r>
          </w:p>
        </w:tc>
        <w:tc>
          <w:tcPr>
            <w:tcW w:w="1417" w:type="dxa"/>
            <w:vAlign w:val="top"/>
          </w:tcPr>
          <w:p w14:paraId="4CB3F701">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28"/>
                <w:szCs w:val="28"/>
                <w:lang w:eastAsia="zh-CN"/>
              </w:rPr>
            </w:pPr>
            <w:r>
              <w:rPr>
                <w:rFonts w:hint="eastAsia" w:ascii="仿宋_GB2312" w:hAnsi="仿宋_GB2312" w:eastAsia="仿宋_GB2312" w:cs="仿宋_GB2312"/>
                <w:b w:val="0"/>
                <w:bCs w:val="0"/>
                <w:snapToGrid/>
                <w:color w:val="auto"/>
                <w:sz w:val="28"/>
                <w:szCs w:val="28"/>
                <w:lang w:val="en-US" w:eastAsia="zh-CN"/>
              </w:rPr>
              <w:t>7</w:t>
            </w:r>
          </w:p>
        </w:tc>
        <w:tc>
          <w:tcPr>
            <w:tcW w:w="1417" w:type="dxa"/>
            <w:vAlign w:val="top"/>
          </w:tcPr>
          <w:p w14:paraId="2F17BD74">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28"/>
                <w:szCs w:val="28"/>
                <w:lang w:eastAsia="zh-CN"/>
              </w:rPr>
            </w:pPr>
            <w:r>
              <w:rPr>
                <w:rFonts w:hint="eastAsia" w:ascii="仿宋_GB2312" w:hAnsi="仿宋_GB2312" w:eastAsia="仿宋_GB2312" w:cs="仿宋_GB2312"/>
                <w:b w:val="0"/>
                <w:bCs w:val="0"/>
                <w:snapToGrid/>
                <w:color w:val="auto"/>
                <w:sz w:val="28"/>
                <w:szCs w:val="28"/>
                <w:lang w:val="en-US" w:eastAsia="zh-CN"/>
              </w:rPr>
              <w:t>5</w:t>
            </w:r>
          </w:p>
        </w:tc>
        <w:tc>
          <w:tcPr>
            <w:tcW w:w="1417" w:type="dxa"/>
            <w:vAlign w:val="top"/>
          </w:tcPr>
          <w:p w14:paraId="3CCBC7AF">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28"/>
                <w:szCs w:val="28"/>
                <w:lang w:eastAsia="zh-CN"/>
              </w:rPr>
            </w:pPr>
            <w:r>
              <w:rPr>
                <w:rFonts w:hint="eastAsia" w:ascii="仿宋_GB2312" w:hAnsi="仿宋_GB2312" w:eastAsia="仿宋_GB2312" w:cs="仿宋_GB2312"/>
                <w:b w:val="0"/>
                <w:bCs w:val="0"/>
                <w:snapToGrid/>
                <w:color w:val="auto"/>
                <w:sz w:val="28"/>
                <w:szCs w:val="28"/>
                <w:lang w:val="en-US" w:eastAsia="zh-CN"/>
              </w:rPr>
              <w:t>2</w:t>
            </w:r>
          </w:p>
        </w:tc>
        <w:tc>
          <w:tcPr>
            <w:tcW w:w="2142" w:type="dxa"/>
          </w:tcPr>
          <w:p w14:paraId="70B8556B">
            <w:pPr>
              <w:keepNext w:val="0"/>
              <w:keepLines w:val="0"/>
              <w:pageBreakBefore w:val="0"/>
              <w:widowControl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28"/>
                <w:szCs w:val="28"/>
                <w:lang w:eastAsia="zh-CN"/>
              </w:rPr>
            </w:pPr>
            <w:r>
              <w:rPr>
                <w:rFonts w:hint="eastAsia" w:ascii="仿宋_GB2312" w:hAnsi="仿宋_GB2312" w:eastAsia="仿宋_GB2312" w:cs="仿宋_GB2312"/>
                <w:b w:val="0"/>
                <w:bCs w:val="0"/>
                <w:snapToGrid/>
                <w:color w:val="auto"/>
                <w:sz w:val="28"/>
                <w:szCs w:val="28"/>
                <w:highlight w:val="none"/>
                <w:lang w:val="en-US" w:eastAsia="zh-CN"/>
              </w:rPr>
              <w:t>如为团体获奖，</w:t>
            </w:r>
            <w:r>
              <w:rPr>
                <w:rFonts w:hint="eastAsia" w:ascii="仿宋_GB2312" w:hAnsi="仿宋_GB2312" w:eastAsia="仿宋_GB2312" w:cs="仿宋_GB2312"/>
                <w:b w:val="0"/>
                <w:bCs w:val="0"/>
                <w:snapToGrid/>
                <w:color w:val="auto"/>
                <w:sz w:val="28"/>
                <w:szCs w:val="28"/>
                <w:highlight w:val="none"/>
                <w:lang w:eastAsia="zh-CN"/>
              </w:rPr>
              <w:t>团队负责人</w:t>
            </w:r>
            <w:r>
              <w:rPr>
                <w:rFonts w:hint="eastAsia" w:ascii="仿宋_GB2312" w:hAnsi="仿宋_GB2312" w:eastAsia="仿宋_GB2312" w:cs="仿宋_GB2312"/>
                <w:b w:val="0"/>
                <w:bCs w:val="0"/>
                <w:snapToGrid/>
                <w:color w:val="auto"/>
                <w:sz w:val="28"/>
                <w:szCs w:val="28"/>
                <w:highlight w:val="none"/>
                <w:lang w:val="en-US" w:eastAsia="zh-CN"/>
              </w:rPr>
              <w:t>加分占60%，其余均分40%。</w:t>
            </w:r>
          </w:p>
        </w:tc>
      </w:tr>
    </w:tbl>
    <w:p w14:paraId="151F5DA9">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说明：</w:t>
      </w:r>
    </w:p>
    <w:p w14:paraId="3F78B52C">
      <w:pPr>
        <w:keepNext w:val="0"/>
        <w:keepLines w:val="0"/>
        <w:pageBreakBefore w:val="0"/>
        <w:numPr>
          <w:ilvl w:val="0"/>
          <w:numId w:val="0"/>
        </w:numPr>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highlight w:val="none"/>
          <w:lang w:eastAsia="zh-CN"/>
        </w:rPr>
        <w:t>（</w:t>
      </w:r>
      <w:r>
        <w:rPr>
          <w:rFonts w:hint="eastAsia" w:ascii="仿宋_GB2312" w:hAnsi="仿宋_GB2312" w:eastAsia="仿宋_GB2312" w:cs="仿宋_GB2312"/>
          <w:b w:val="0"/>
          <w:bCs w:val="0"/>
          <w:snapToGrid/>
          <w:color w:val="auto"/>
          <w:sz w:val="32"/>
          <w:szCs w:val="32"/>
          <w:highlight w:val="none"/>
          <w:lang w:val="en-US" w:eastAsia="zh-CN"/>
        </w:rPr>
        <w:t>1</w:t>
      </w:r>
      <w:r>
        <w:rPr>
          <w:rFonts w:hint="eastAsia" w:ascii="仿宋_GB2312" w:hAnsi="仿宋_GB2312" w:eastAsia="仿宋_GB2312" w:cs="仿宋_GB2312"/>
          <w:b w:val="0"/>
          <w:bCs w:val="0"/>
          <w:snapToGrid/>
          <w:color w:val="auto"/>
          <w:sz w:val="32"/>
          <w:szCs w:val="32"/>
          <w:highlight w:val="none"/>
          <w:lang w:eastAsia="zh-CN"/>
        </w:rPr>
        <w:t>）评奖周期</w:t>
      </w:r>
      <w:r>
        <w:rPr>
          <w:rFonts w:hint="eastAsia" w:ascii="仿宋_GB2312" w:hAnsi="仿宋_GB2312" w:eastAsia="仿宋_GB2312" w:cs="仿宋_GB2312"/>
          <w:b w:val="0"/>
          <w:bCs w:val="0"/>
          <w:snapToGrid/>
          <w:color w:val="auto"/>
          <w:sz w:val="32"/>
          <w:szCs w:val="32"/>
          <w:highlight w:val="none"/>
          <w:lang w:val="en-US" w:eastAsia="zh-CN"/>
        </w:rPr>
        <w:t>内</w:t>
      </w:r>
      <w:r>
        <w:rPr>
          <w:rFonts w:hint="eastAsia" w:ascii="仿宋_GB2312" w:hAnsi="仿宋_GB2312" w:eastAsia="仿宋_GB2312" w:cs="仿宋_GB2312"/>
          <w:b w:val="0"/>
          <w:bCs w:val="0"/>
          <w:snapToGrid/>
          <w:color w:val="auto"/>
          <w:sz w:val="32"/>
          <w:szCs w:val="32"/>
          <w:highlight w:val="none"/>
          <w:lang w:eastAsia="zh-CN"/>
        </w:rPr>
        <w:t>，</w:t>
      </w:r>
      <w:r>
        <w:rPr>
          <w:rFonts w:hint="eastAsia" w:ascii="仿宋_GB2312" w:hAnsi="仿宋_GB2312" w:eastAsia="仿宋_GB2312" w:cs="仿宋_GB2312"/>
          <w:b w:val="0"/>
          <w:bCs w:val="0"/>
          <w:snapToGrid/>
          <w:color w:val="auto"/>
          <w:sz w:val="32"/>
          <w:szCs w:val="32"/>
          <w:lang w:eastAsia="zh-CN"/>
        </w:rPr>
        <w:t>如有多份报告获奖，优秀实习报告、优秀实践报告最多各有1项进行加分。</w:t>
      </w:r>
    </w:p>
    <w:p w14:paraId="14CB31A1">
      <w:pPr>
        <w:keepNext w:val="0"/>
        <w:keepLines w:val="0"/>
        <w:pageBreakBefore w:val="0"/>
        <w:numPr>
          <w:ilvl w:val="0"/>
          <w:numId w:val="0"/>
        </w:numPr>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2</w:t>
      </w:r>
      <w:r>
        <w:rPr>
          <w:rFonts w:hint="eastAsia" w:ascii="仿宋_GB2312" w:hAnsi="仿宋_GB2312" w:eastAsia="仿宋_GB2312" w:cs="仿宋_GB2312"/>
          <w:b w:val="0"/>
          <w:bCs w:val="0"/>
          <w:snapToGrid/>
          <w:color w:val="auto"/>
          <w:sz w:val="32"/>
          <w:szCs w:val="32"/>
          <w:lang w:eastAsia="zh-CN"/>
        </w:rPr>
        <w:t>）本项由学院单独组织评审，以实习实践类评奖时间作为判断是否属于奖助金评审周期。</w:t>
      </w:r>
    </w:p>
    <w:p w14:paraId="523B9C65">
      <w:pPr>
        <w:keepNext w:val="0"/>
        <w:keepLines w:val="0"/>
        <w:pageBreakBefore w:val="0"/>
        <w:kinsoku/>
        <w:wordWrap/>
        <w:overflowPunct/>
        <w:topLinePunct w:val="0"/>
        <w:bidi w:val="0"/>
        <w:spacing w:line="540" w:lineRule="exact"/>
        <w:ind w:firstLine="321" w:firstLineChars="1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bCs/>
          <w:snapToGrid/>
          <w:color w:val="auto"/>
          <w:sz w:val="32"/>
          <w:szCs w:val="32"/>
          <w:lang w:val="en-US" w:eastAsia="zh-CN"/>
        </w:rPr>
        <w:t>第十一条</w:t>
      </w:r>
      <w:r>
        <w:rPr>
          <w:rFonts w:hint="eastAsia" w:ascii="仿宋_GB2312" w:hAnsi="仿宋_GB2312" w:eastAsia="仿宋_GB2312" w:cs="仿宋_GB2312"/>
          <w:b w:val="0"/>
          <w:bCs w:val="0"/>
          <w:snapToGrid/>
          <w:color w:val="auto"/>
          <w:sz w:val="32"/>
          <w:szCs w:val="32"/>
          <w:lang w:val="en-US" w:eastAsia="zh-CN"/>
        </w:rPr>
        <w:t xml:space="preserve"> </w:t>
      </w:r>
      <w:r>
        <w:rPr>
          <w:rFonts w:hint="eastAsia" w:ascii="仿宋_GB2312" w:hAnsi="仿宋_GB2312" w:eastAsia="仿宋_GB2312" w:cs="仿宋_GB2312"/>
          <w:b w:val="0"/>
          <w:bCs w:val="0"/>
          <w:snapToGrid/>
          <w:color w:val="auto"/>
          <w:sz w:val="32"/>
          <w:szCs w:val="32"/>
          <w:lang w:eastAsia="zh-CN"/>
        </w:rPr>
        <w:t>专业竞赛</w:t>
      </w:r>
    </w:p>
    <w:p w14:paraId="53EB9D4A">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一</w:t>
      </w:r>
      <w:r>
        <w:rPr>
          <w:rFonts w:hint="eastAsia" w:ascii="仿宋_GB2312" w:hAnsi="仿宋_GB2312" w:eastAsia="仿宋_GB2312" w:cs="仿宋_GB2312"/>
          <w:b w:val="0"/>
          <w:bCs w:val="0"/>
          <w:snapToGrid/>
          <w:color w:val="auto"/>
          <w:sz w:val="32"/>
          <w:szCs w:val="32"/>
          <w:lang w:eastAsia="zh-CN"/>
        </w:rPr>
        <w:t>）第一类竞赛加分</w:t>
      </w:r>
    </w:p>
    <w:tbl>
      <w:tblPr>
        <w:tblStyle w:val="8"/>
        <w:tblpPr w:leftFromText="180" w:rightFromText="180" w:vertAnchor="text" w:horzAnchor="page" w:tblpX="772" w:tblpY="225"/>
        <w:tblOverlap w:val="never"/>
        <w:tblW w:w="10150" w:type="dxa"/>
        <w:tblInd w:w="0" w:type="dxa"/>
        <w:tblLayout w:type="fixed"/>
        <w:tblCellMar>
          <w:top w:w="0" w:type="dxa"/>
          <w:left w:w="108" w:type="dxa"/>
          <w:bottom w:w="0" w:type="dxa"/>
          <w:right w:w="108" w:type="dxa"/>
        </w:tblCellMar>
      </w:tblPr>
      <w:tblGrid>
        <w:gridCol w:w="690"/>
        <w:gridCol w:w="701"/>
        <w:gridCol w:w="673"/>
        <w:gridCol w:w="567"/>
        <w:gridCol w:w="709"/>
        <w:gridCol w:w="567"/>
        <w:gridCol w:w="425"/>
        <w:gridCol w:w="426"/>
        <w:gridCol w:w="708"/>
        <w:gridCol w:w="567"/>
        <w:gridCol w:w="567"/>
        <w:gridCol w:w="567"/>
        <w:gridCol w:w="709"/>
        <w:gridCol w:w="425"/>
        <w:gridCol w:w="567"/>
        <w:gridCol w:w="567"/>
        <w:gridCol w:w="715"/>
      </w:tblGrid>
      <w:tr w14:paraId="03D41A04">
        <w:tblPrEx>
          <w:tblCellMar>
            <w:top w:w="0" w:type="dxa"/>
            <w:left w:w="108" w:type="dxa"/>
            <w:bottom w:w="0" w:type="dxa"/>
            <w:right w:w="108" w:type="dxa"/>
          </w:tblCellMar>
        </w:tblPrEx>
        <w:trPr>
          <w:trHeight w:val="499" w:hRule="atLeast"/>
        </w:trPr>
        <w:tc>
          <w:tcPr>
            <w:tcW w:w="69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0FE0E7B">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级别</w:t>
            </w:r>
          </w:p>
        </w:tc>
        <w:tc>
          <w:tcPr>
            <w:tcW w:w="2650" w:type="dxa"/>
            <w:gridSpan w:val="4"/>
            <w:tcBorders>
              <w:top w:val="single" w:color="auto" w:sz="4" w:space="0"/>
              <w:left w:val="single" w:color="auto" w:sz="4" w:space="0"/>
              <w:bottom w:val="single" w:color="auto" w:sz="4" w:space="0"/>
              <w:right w:val="single" w:color="auto" w:sz="4" w:space="0"/>
            </w:tcBorders>
          </w:tcPr>
          <w:p w14:paraId="7D7E3C0D">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国家级</w:t>
            </w:r>
          </w:p>
        </w:tc>
        <w:tc>
          <w:tcPr>
            <w:tcW w:w="2126"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ED2C7D7">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省部级</w:t>
            </w:r>
          </w:p>
        </w:tc>
        <w:tc>
          <w:tcPr>
            <w:tcW w:w="2410"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7496C88">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校（市）级</w:t>
            </w:r>
          </w:p>
        </w:tc>
        <w:tc>
          <w:tcPr>
            <w:tcW w:w="2274"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6D566C3">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学院</w:t>
            </w:r>
          </w:p>
        </w:tc>
      </w:tr>
      <w:tr w14:paraId="596C7071">
        <w:tblPrEx>
          <w:tblCellMar>
            <w:top w:w="0" w:type="dxa"/>
            <w:left w:w="108" w:type="dxa"/>
            <w:bottom w:w="0" w:type="dxa"/>
            <w:right w:w="108" w:type="dxa"/>
          </w:tblCellMar>
        </w:tblPrEx>
        <w:trPr>
          <w:trHeight w:val="558" w:hRule="atLeast"/>
        </w:trPr>
        <w:tc>
          <w:tcPr>
            <w:tcW w:w="69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AF6B064">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等级</w:t>
            </w:r>
          </w:p>
        </w:tc>
        <w:tc>
          <w:tcPr>
            <w:tcW w:w="701" w:type="dxa"/>
            <w:tcBorders>
              <w:top w:val="single" w:color="auto" w:sz="4" w:space="0"/>
              <w:left w:val="single" w:color="auto" w:sz="4" w:space="0"/>
              <w:bottom w:val="single" w:color="auto" w:sz="4" w:space="0"/>
              <w:right w:val="single" w:color="auto" w:sz="4" w:space="0"/>
            </w:tcBorders>
            <w:vAlign w:val="center"/>
          </w:tcPr>
          <w:p w14:paraId="64D9DB38">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特等</w:t>
            </w:r>
          </w:p>
        </w:tc>
        <w:tc>
          <w:tcPr>
            <w:tcW w:w="673" w:type="dxa"/>
            <w:tcBorders>
              <w:top w:val="single" w:color="auto" w:sz="4" w:space="0"/>
              <w:left w:val="single" w:color="auto" w:sz="4" w:space="0"/>
              <w:bottom w:val="single" w:color="auto" w:sz="4" w:space="0"/>
              <w:right w:val="single" w:color="auto" w:sz="4" w:space="0"/>
            </w:tcBorders>
            <w:vAlign w:val="center"/>
          </w:tcPr>
          <w:p w14:paraId="14BBECF5">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一等</w:t>
            </w:r>
          </w:p>
        </w:tc>
        <w:tc>
          <w:tcPr>
            <w:tcW w:w="567" w:type="dxa"/>
            <w:tcBorders>
              <w:top w:val="single" w:color="auto" w:sz="4" w:space="0"/>
              <w:left w:val="single" w:color="auto" w:sz="4" w:space="0"/>
              <w:bottom w:val="single" w:color="auto" w:sz="4" w:space="0"/>
              <w:right w:val="single" w:color="auto" w:sz="4" w:space="0"/>
            </w:tcBorders>
            <w:vAlign w:val="center"/>
          </w:tcPr>
          <w:p w14:paraId="087E1EEA">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二等</w:t>
            </w:r>
          </w:p>
        </w:tc>
        <w:tc>
          <w:tcPr>
            <w:tcW w:w="709" w:type="dxa"/>
            <w:tcBorders>
              <w:top w:val="single" w:color="auto" w:sz="4" w:space="0"/>
              <w:left w:val="single" w:color="auto" w:sz="4" w:space="0"/>
              <w:bottom w:val="single" w:color="auto" w:sz="4" w:space="0"/>
              <w:right w:val="single" w:color="auto" w:sz="4" w:space="0"/>
            </w:tcBorders>
            <w:vAlign w:val="center"/>
          </w:tcPr>
          <w:p w14:paraId="6974BB6A">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三等</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E46CB7E">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特等</w:t>
            </w:r>
          </w:p>
        </w:tc>
        <w:tc>
          <w:tcPr>
            <w:tcW w:w="42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CF96F86">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一等</w:t>
            </w:r>
          </w:p>
        </w:tc>
        <w:tc>
          <w:tcPr>
            <w:tcW w:w="4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8383DD9">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二等</w:t>
            </w:r>
          </w:p>
        </w:tc>
        <w:tc>
          <w:tcPr>
            <w:tcW w:w="708" w:type="dxa"/>
            <w:tcBorders>
              <w:top w:val="single" w:color="auto" w:sz="4" w:space="0"/>
              <w:left w:val="single" w:color="auto" w:sz="4" w:space="0"/>
              <w:bottom w:val="single" w:color="auto" w:sz="4" w:space="0"/>
              <w:right w:val="single" w:color="auto" w:sz="4" w:space="0"/>
            </w:tcBorders>
            <w:vAlign w:val="center"/>
          </w:tcPr>
          <w:p w14:paraId="30A98354">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三等</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21FEAA8">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特等</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D7A1143">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一等</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EF51646">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二等</w:t>
            </w:r>
          </w:p>
        </w:tc>
        <w:tc>
          <w:tcPr>
            <w:tcW w:w="709" w:type="dxa"/>
            <w:tcBorders>
              <w:top w:val="single" w:color="auto" w:sz="4" w:space="0"/>
              <w:left w:val="single" w:color="auto" w:sz="4" w:space="0"/>
              <w:bottom w:val="single" w:color="auto" w:sz="4" w:space="0"/>
              <w:right w:val="single" w:color="auto" w:sz="4" w:space="0"/>
            </w:tcBorders>
            <w:vAlign w:val="center"/>
          </w:tcPr>
          <w:p w14:paraId="7B645A96">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三等</w:t>
            </w:r>
          </w:p>
        </w:tc>
        <w:tc>
          <w:tcPr>
            <w:tcW w:w="42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3F4208E">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特等</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791CF5C">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一等</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FCCEC38">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二等</w:t>
            </w:r>
          </w:p>
        </w:tc>
        <w:tc>
          <w:tcPr>
            <w:tcW w:w="715" w:type="dxa"/>
            <w:tcBorders>
              <w:top w:val="single" w:color="auto" w:sz="4" w:space="0"/>
              <w:left w:val="single" w:color="auto" w:sz="4" w:space="0"/>
              <w:bottom w:val="single" w:color="auto" w:sz="4" w:space="0"/>
              <w:right w:val="single" w:color="auto" w:sz="4" w:space="0"/>
            </w:tcBorders>
            <w:vAlign w:val="center"/>
          </w:tcPr>
          <w:p w14:paraId="438ED41F">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三等</w:t>
            </w:r>
          </w:p>
        </w:tc>
      </w:tr>
      <w:tr w14:paraId="491A1A08">
        <w:tblPrEx>
          <w:tblCellMar>
            <w:top w:w="0" w:type="dxa"/>
            <w:left w:w="108" w:type="dxa"/>
            <w:bottom w:w="0" w:type="dxa"/>
            <w:right w:w="108" w:type="dxa"/>
          </w:tblCellMar>
        </w:tblPrEx>
        <w:trPr>
          <w:trHeight w:val="551" w:hRule="atLeast"/>
        </w:trPr>
        <w:tc>
          <w:tcPr>
            <w:tcW w:w="69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0228E52">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加分</w:t>
            </w:r>
          </w:p>
        </w:tc>
        <w:tc>
          <w:tcPr>
            <w:tcW w:w="701" w:type="dxa"/>
            <w:tcBorders>
              <w:top w:val="single" w:color="auto" w:sz="4" w:space="0"/>
              <w:left w:val="single" w:color="auto" w:sz="4" w:space="0"/>
              <w:bottom w:val="single" w:color="auto" w:sz="4" w:space="0"/>
              <w:right w:val="single" w:color="auto" w:sz="4" w:space="0"/>
            </w:tcBorders>
          </w:tcPr>
          <w:p w14:paraId="38BAAF83">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100</w:t>
            </w:r>
          </w:p>
        </w:tc>
        <w:tc>
          <w:tcPr>
            <w:tcW w:w="673" w:type="dxa"/>
            <w:tcBorders>
              <w:top w:val="single" w:color="auto" w:sz="4" w:space="0"/>
              <w:left w:val="single" w:color="auto" w:sz="4" w:space="0"/>
              <w:bottom w:val="single" w:color="auto" w:sz="4" w:space="0"/>
              <w:right w:val="single" w:color="auto" w:sz="4" w:space="0"/>
            </w:tcBorders>
          </w:tcPr>
          <w:p w14:paraId="6CEC189E">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50</w:t>
            </w:r>
          </w:p>
        </w:tc>
        <w:tc>
          <w:tcPr>
            <w:tcW w:w="567" w:type="dxa"/>
            <w:tcBorders>
              <w:top w:val="single" w:color="auto" w:sz="4" w:space="0"/>
              <w:left w:val="single" w:color="auto" w:sz="4" w:space="0"/>
              <w:bottom w:val="single" w:color="auto" w:sz="4" w:space="0"/>
              <w:right w:val="single" w:color="auto" w:sz="4" w:space="0"/>
            </w:tcBorders>
          </w:tcPr>
          <w:p w14:paraId="3879520C">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20</w:t>
            </w:r>
          </w:p>
        </w:tc>
        <w:tc>
          <w:tcPr>
            <w:tcW w:w="709" w:type="dxa"/>
            <w:tcBorders>
              <w:top w:val="single" w:color="auto" w:sz="4" w:space="0"/>
              <w:left w:val="single" w:color="auto" w:sz="4" w:space="0"/>
              <w:bottom w:val="single" w:color="auto" w:sz="4" w:space="0"/>
              <w:right w:val="single" w:color="auto" w:sz="4" w:space="0"/>
            </w:tcBorders>
          </w:tcPr>
          <w:p w14:paraId="214D5886">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10</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F49CF11">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50</w:t>
            </w:r>
          </w:p>
        </w:tc>
        <w:tc>
          <w:tcPr>
            <w:tcW w:w="42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D999678">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20</w:t>
            </w:r>
          </w:p>
        </w:tc>
        <w:tc>
          <w:tcPr>
            <w:tcW w:w="4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82E4486">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10</w:t>
            </w:r>
          </w:p>
        </w:tc>
        <w:tc>
          <w:tcPr>
            <w:tcW w:w="708" w:type="dxa"/>
            <w:tcBorders>
              <w:top w:val="single" w:color="auto" w:sz="4" w:space="0"/>
              <w:left w:val="single" w:color="auto" w:sz="4" w:space="0"/>
              <w:bottom w:val="single" w:color="auto" w:sz="4" w:space="0"/>
              <w:right w:val="single" w:color="auto" w:sz="4" w:space="0"/>
            </w:tcBorders>
            <w:vAlign w:val="center"/>
          </w:tcPr>
          <w:p w14:paraId="320794BC">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5</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7E1B1C8">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20</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86E3C6B">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10</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810AAE4">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5</w:t>
            </w:r>
          </w:p>
        </w:tc>
        <w:tc>
          <w:tcPr>
            <w:tcW w:w="709" w:type="dxa"/>
            <w:tcBorders>
              <w:top w:val="single" w:color="auto" w:sz="4" w:space="0"/>
              <w:left w:val="single" w:color="auto" w:sz="4" w:space="0"/>
              <w:bottom w:val="single" w:color="auto" w:sz="4" w:space="0"/>
              <w:right w:val="single" w:color="auto" w:sz="4" w:space="0"/>
            </w:tcBorders>
            <w:vAlign w:val="center"/>
          </w:tcPr>
          <w:p w14:paraId="5278B462">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2</w:t>
            </w:r>
          </w:p>
        </w:tc>
        <w:tc>
          <w:tcPr>
            <w:tcW w:w="42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BACFF58">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2</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6CCDAD1">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BF3438A">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0.6</w:t>
            </w:r>
          </w:p>
        </w:tc>
        <w:tc>
          <w:tcPr>
            <w:tcW w:w="715" w:type="dxa"/>
            <w:tcBorders>
              <w:top w:val="single" w:color="auto" w:sz="4" w:space="0"/>
              <w:left w:val="single" w:color="auto" w:sz="4" w:space="0"/>
              <w:bottom w:val="single" w:color="auto" w:sz="4" w:space="0"/>
              <w:right w:val="single" w:color="auto" w:sz="4" w:space="0"/>
            </w:tcBorders>
            <w:vAlign w:val="center"/>
          </w:tcPr>
          <w:p w14:paraId="6E72E723">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0.4</w:t>
            </w:r>
          </w:p>
        </w:tc>
      </w:tr>
    </w:tbl>
    <w:p w14:paraId="0965898A">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说明：</w:t>
      </w:r>
    </w:p>
    <w:p w14:paraId="175A2470">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（1）第一类特指教育部官方认可的</w:t>
      </w:r>
      <w:r>
        <w:rPr>
          <w:rFonts w:hint="eastAsia" w:ascii="仿宋_GB2312" w:hAnsi="仿宋_GB2312" w:eastAsia="仿宋_GB2312" w:cs="仿宋_GB2312"/>
          <w:b w:val="0"/>
          <w:bCs w:val="0"/>
          <w:snapToGrid/>
          <w:color w:val="auto"/>
          <w:sz w:val="32"/>
          <w:szCs w:val="32"/>
          <w:highlight w:val="none"/>
          <w:lang w:eastAsia="zh-CN"/>
        </w:rPr>
        <w:t>学科竞赛</w:t>
      </w:r>
      <w:r>
        <w:rPr>
          <w:rFonts w:hint="eastAsia" w:ascii="仿宋_GB2312" w:hAnsi="仿宋_GB2312" w:eastAsia="仿宋_GB2312" w:cs="仿宋_GB2312"/>
          <w:b w:val="0"/>
          <w:bCs w:val="0"/>
          <w:snapToGrid/>
          <w:color w:val="auto"/>
          <w:sz w:val="32"/>
          <w:szCs w:val="32"/>
          <w:highlight w:val="none"/>
          <w:lang w:val="en-US" w:eastAsia="zh-CN"/>
        </w:rPr>
        <w:t>清</w:t>
      </w:r>
      <w:r>
        <w:rPr>
          <w:rFonts w:hint="eastAsia" w:ascii="仿宋_GB2312" w:hAnsi="仿宋_GB2312" w:eastAsia="仿宋_GB2312" w:cs="仿宋_GB2312"/>
          <w:b w:val="0"/>
          <w:bCs w:val="0"/>
          <w:snapToGrid/>
          <w:color w:val="auto"/>
          <w:sz w:val="32"/>
          <w:szCs w:val="32"/>
          <w:highlight w:val="none"/>
          <w:lang w:eastAsia="zh-CN"/>
        </w:rPr>
        <w:t>单</w:t>
      </w:r>
      <w:r>
        <w:rPr>
          <w:rFonts w:hint="eastAsia" w:ascii="仿宋_GB2312" w:hAnsi="仿宋_GB2312" w:eastAsia="仿宋_GB2312" w:cs="仿宋_GB2312"/>
          <w:b w:val="0"/>
          <w:bCs w:val="0"/>
          <w:snapToGrid/>
          <w:color w:val="auto"/>
          <w:sz w:val="32"/>
          <w:szCs w:val="32"/>
          <w:highlight w:val="none"/>
          <w:lang w:val="en-US" w:eastAsia="zh-CN"/>
        </w:rPr>
        <w:t>中包含的赛事</w:t>
      </w:r>
      <w:r>
        <w:rPr>
          <w:rFonts w:hint="eastAsia" w:ascii="仿宋_GB2312" w:hAnsi="仿宋_GB2312" w:eastAsia="仿宋_GB2312" w:cs="仿宋_GB2312"/>
          <w:b w:val="0"/>
          <w:bCs w:val="0"/>
          <w:snapToGrid/>
          <w:color w:val="auto"/>
          <w:sz w:val="32"/>
          <w:szCs w:val="32"/>
          <w:lang w:eastAsia="zh-CN"/>
        </w:rPr>
        <w:t>以及国家和省市相关政府部门、</w:t>
      </w:r>
      <w:r>
        <w:rPr>
          <w:rFonts w:hint="eastAsia" w:ascii="仿宋_GB2312" w:hAnsi="仿宋_GB2312" w:eastAsia="仿宋_GB2312" w:cs="仿宋_GB2312"/>
          <w:b w:val="0"/>
          <w:bCs w:val="0"/>
          <w:snapToGrid/>
          <w:color w:val="auto"/>
          <w:sz w:val="32"/>
          <w:szCs w:val="32"/>
          <w:lang w:val="en-US" w:eastAsia="zh-CN"/>
        </w:rPr>
        <w:t>党团组织</w:t>
      </w: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highlight w:val="none"/>
          <w:lang w:eastAsia="zh-CN"/>
        </w:rPr>
        <w:t>市级及以上单位</w:t>
      </w:r>
      <w:r>
        <w:rPr>
          <w:rFonts w:hint="eastAsia" w:ascii="仿宋_GB2312" w:hAnsi="仿宋_GB2312" w:eastAsia="仿宋_GB2312" w:cs="仿宋_GB2312"/>
          <w:b w:val="0"/>
          <w:bCs w:val="0"/>
          <w:snapToGrid/>
          <w:color w:val="auto"/>
          <w:sz w:val="32"/>
          <w:szCs w:val="32"/>
          <w:lang w:eastAsia="zh-CN"/>
        </w:rPr>
        <w:t>），本校（学工部、团委、科协等部门）以及本学院举办的不限专业的</w:t>
      </w:r>
      <w:r>
        <w:rPr>
          <w:rFonts w:hint="eastAsia" w:ascii="仿宋_GB2312" w:hAnsi="仿宋_GB2312" w:eastAsia="仿宋_GB2312" w:cs="仿宋_GB2312"/>
          <w:b w:val="0"/>
          <w:bCs w:val="0"/>
          <w:snapToGrid/>
          <w:color w:val="auto"/>
          <w:sz w:val="32"/>
          <w:szCs w:val="32"/>
          <w:lang w:val="en-US" w:eastAsia="zh-CN"/>
        </w:rPr>
        <w:t>高含金量</w:t>
      </w:r>
      <w:r>
        <w:rPr>
          <w:rFonts w:hint="eastAsia" w:ascii="仿宋_GB2312" w:hAnsi="仿宋_GB2312" w:eastAsia="仿宋_GB2312" w:cs="仿宋_GB2312"/>
          <w:b w:val="0"/>
          <w:bCs w:val="0"/>
          <w:snapToGrid/>
          <w:color w:val="auto"/>
          <w:sz w:val="32"/>
          <w:szCs w:val="32"/>
          <w:lang w:eastAsia="zh-CN"/>
        </w:rPr>
        <w:t>综合赛事，如中国国际大学生创新创业大赛、挑战杯全国大学生创业计划竞赛、全国大学生职业规划大赛，广东省科普作品创作大赛，中山大学科研新声比赛、土木工程学院科普竞赛等综合类权威赛事，或经学院研究生奖助金评审委员会讨论认</w:t>
      </w:r>
      <w:r>
        <w:rPr>
          <w:rFonts w:hint="eastAsia" w:ascii="仿宋_GB2312" w:hAnsi="仿宋_GB2312" w:eastAsia="仿宋_GB2312" w:cs="仿宋_GB2312"/>
          <w:b w:val="0"/>
          <w:bCs w:val="0"/>
          <w:snapToGrid/>
          <w:color w:val="auto"/>
          <w:sz w:val="32"/>
          <w:szCs w:val="32"/>
          <w:lang w:val="en-US" w:eastAsia="zh-CN"/>
        </w:rPr>
        <w:t>可</w:t>
      </w:r>
      <w:r>
        <w:rPr>
          <w:rFonts w:hint="eastAsia" w:ascii="仿宋_GB2312" w:hAnsi="仿宋_GB2312" w:eastAsia="仿宋_GB2312" w:cs="仿宋_GB2312"/>
          <w:b w:val="0"/>
          <w:bCs w:val="0"/>
          <w:snapToGrid/>
          <w:color w:val="auto"/>
          <w:sz w:val="32"/>
          <w:szCs w:val="32"/>
          <w:lang w:eastAsia="zh-CN"/>
        </w:rPr>
        <w:t>的综合类竞赛。</w:t>
      </w:r>
    </w:p>
    <w:p w14:paraId="7834A417">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lang w:eastAsia="zh-CN"/>
        </w:rPr>
        <w:t>（2）以上分值相对个人项目而言，如有多位完成人</w:t>
      </w:r>
      <w:r>
        <w:rPr>
          <w:rFonts w:hint="eastAsia" w:ascii="仿宋_GB2312" w:hAnsi="仿宋_GB2312" w:eastAsia="仿宋_GB2312" w:cs="仿宋_GB2312"/>
          <w:b w:val="0"/>
          <w:bCs w:val="0"/>
          <w:snapToGrid/>
          <w:color w:val="auto"/>
          <w:sz w:val="32"/>
          <w:szCs w:val="32"/>
          <w:highlight w:val="none"/>
          <w:lang w:eastAsia="zh-CN"/>
        </w:rPr>
        <w:t>，团队负责人得分比例为60%，其余人均分40%得分。</w:t>
      </w:r>
    </w:p>
    <w:p w14:paraId="16880A88">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（3）参加同一比赛按照最高奖项计算得分。</w:t>
      </w:r>
    </w:p>
    <w:p w14:paraId="0DEBBE80">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lang w:eastAsia="zh-CN"/>
        </w:rPr>
        <w:t>（4）如获得金奖、银奖、铜奖，分别对应特、一、二等奖。</w:t>
      </w:r>
      <w:r>
        <w:rPr>
          <w:rFonts w:hint="eastAsia" w:ascii="仿宋_GB2312" w:hAnsi="仿宋_GB2312" w:eastAsia="仿宋_GB2312" w:cs="仿宋_GB2312"/>
          <w:b w:val="0"/>
          <w:bCs w:val="0"/>
          <w:snapToGrid/>
          <w:color w:val="auto"/>
          <w:sz w:val="32"/>
          <w:szCs w:val="32"/>
          <w:highlight w:val="none"/>
          <w:lang w:eastAsia="zh-CN"/>
        </w:rPr>
        <w:t>不设特等奖的赛事，一等奖加分值等同于特等奖，其他等级以此类推。</w:t>
      </w:r>
    </w:p>
    <w:p w14:paraId="12B84E62">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5</w:t>
      </w: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本类赛事一般经过学院组织报名或遴选推荐，</w:t>
      </w:r>
      <w:r>
        <w:rPr>
          <w:rFonts w:hint="eastAsia" w:ascii="仿宋_GB2312" w:hAnsi="仿宋_GB2312" w:eastAsia="仿宋_GB2312" w:cs="仿宋_GB2312"/>
          <w:b w:val="0"/>
          <w:bCs w:val="0"/>
          <w:snapToGrid/>
          <w:color w:val="auto"/>
          <w:sz w:val="32"/>
          <w:szCs w:val="32"/>
          <w:lang w:eastAsia="zh-CN"/>
        </w:rPr>
        <w:t>对于只要参赛或提交作品等就能获奖的</w:t>
      </w:r>
      <w:r>
        <w:rPr>
          <w:rFonts w:hint="eastAsia" w:ascii="仿宋_GB2312" w:hAnsi="仿宋_GB2312" w:eastAsia="仿宋_GB2312" w:cs="仿宋_GB2312"/>
          <w:b w:val="0"/>
          <w:bCs w:val="0"/>
          <w:snapToGrid/>
          <w:color w:val="auto"/>
          <w:sz w:val="32"/>
          <w:szCs w:val="32"/>
          <w:lang w:val="en-US" w:eastAsia="zh-CN"/>
        </w:rPr>
        <w:t>情况</w:t>
      </w:r>
      <w:r>
        <w:rPr>
          <w:rFonts w:hint="eastAsia" w:ascii="仿宋_GB2312" w:hAnsi="仿宋_GB2312" w:eastAsia="仿宋_GB2312" w:cs="仿宋_GB2312"/>
          <w:b w:val="0"/>
          <w:bCs w:val="0"/>
          <w:snapToGrid/>
          <w:color w:val="auto"/>
          <w:sz w:val="32"/>
          <w:szCs w:val="32"/>
          <w:lang w:eastAsia="zh-CN"/>
        </w:rPr>
        <w:t>不予加分。</w:t>
      </w:r>
    </w:p>
    <w:p w14:paraId="0E30D854">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6</w:t>
      </w:r>
      <w:r>
        <w:rPr>
          <w:rFonts w:hint="eastAsia" w:ascii="仿宋_GB2312" w:hAnsi="仿宋_GB2312" w:eastAsia="仿宋_GB2312" w:cs="仿宋_GB2312"/>
          <w:b w:val="0"/>
          <w:bCs w:val="0"/>
          <w:snapToGrid/>
          <w:color w:val="auto"/>
          <w:sz w:val="32"/>
          <w:szCs w:val="32"/>
          <w:lang w:eastAsia="zh-CN"/>
        </w:rPr>
        <w:t>）若有其他奖项设置或获具体名次，由学院研究生奖助金评审委员会参照主办方评奖级别讨论确定得分方案。</w:t>
      </w:r>
    </w:p>
    <w:p w14:paraId="3CEA5E06">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7</w:t>
      </w: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highlight w:val="none"/>
          <w:lang w:val="en-US" w:eastAsia="zh-CN"/>
        </w:rPr>
        <w:t>第一类赛事</w:t>
      </w:r>
      <w:r>
        <w:rPr>
          <w:rFonts w:hint="eastAsia" w:ascii="仿宋_GB2312" w:hAnsi="仿宋_GB2312" w:eastAsia="仿宋_GB2312" w:cs="仿宋_GB2312"/>
          <w:b w:val="0"/>
          <w:bCs w:val="0"/>
          <w:snapToGrid/>
          <w:color w:val="auto"/>
          <w:sz w:val="32"/>
          <w:szCs w:val="32"/>
          <w:highlight w:val="none"/>
          <w:lang w:eastAsia="zh-CN"/>
        </w:rPr>
        <w:t>参</w:t>
      </w:r>
      <w:r>
        <w:rPr>
          <w:rFonts w:hint="eastAsia" w:ascii="仿宋_GB2312" w:hAnsi="仿宋_GB2312" w:eastAsia="仿宋_GB2312" w:cs="仿宋_GB2312"/>
          <w:b w:val="0"/>
          <w:bCs w:val="0"/>
          <w:snapToGrid/>
          <w:color w:val="auto"/>
          <w:sz w:val="32"/>
          <w:szCs w:val="32"/>
          <w:lang w:eastAsia="zh-CN"/>
        </w:rPr>
        <w:t>评学年</w:t>
      </w:r>
      <w:r>
        <w:rPr>
          <w:rFonts w:hint="eastAsia" w:ascii="仿宋_GB2312" w:hAnsi="仿宋_GB2312" w:eastAsia="仿宋_GB2312" w:cs="仿宋_GB2312"/>
          <w:b w:val="0"/>
          <w:bCs w:val="0"/>
          <w:snapToGrid/>
          <w:color w:val="auto"/>
          <w:sz w:val="32"/>
          <w:szCs w:val="32"/>
          <w:highlight w:val="none"/>
          <w:lang w:eastAsia="zh-CN"/>
        </w:rPr>
        <w:t>仅限含金量最</w:t>
      </w:r>
      <w:r>
        <w:rPr>
          <w:rFonts w:hint="eastAsia" w:ascii="仿宋_GB2312" w:hAnsi="仿宋_GB2312" w:eastAsia="仿宋_GB2312" w:cs="仿宋_GB2312"/>
          <w:b w:val="0"/>
          <w:bCs w:val="0"/>
          <w:snapToGrid/>
          <w:color w:val="auto"/>
          <w:sz w:val="32"/>
          <w:szCs w:val="32"/>
          <w:highlight w:val="none"/>
          <w:lang w:val="en-US" w:eastAsia="zh-CN"/>
        </w:rPr>
        <w:t>高</w:t>
      </w:r>
      <w:r>
        <w:rPr>
          <w:rFonts w:hint="eastAsia" w:ascii="仿宋_GB2312" w:hAnsi="仿宋_GB2312" w:eastAsia="仿宋_GB2312" w:cs="仿宋_GB2312"/>
          <w:b w:val="0"/>
          <w:bCs w:val="0"/>
          <w:snapToGrid/>
          <w:color w:val="auto"/>
          <w:sz w:val="32"/>
          <w:szCs w:val="32"/>
          <w:highlight w:val="none"/>
          <w:lang w:eastAsia="zh-CN"/>
        </w:rPr>
        <w:t>的</w:t>
      </w:r>
      <w:r>
        <w:rPr>
          <w:rFonts w:hint="eastAsia" w:ascii="仿宋_GB2312" w:hAnsi="仿宋_GB2312" w:eastAsia="仿宋_GB2312" w:cs="仿宋_GB2312"/>
          <w:b w:val="0"/>
          <w:bCs w:val="0"/>
          <w:snapToGrid/>
          <w:color w:val="auto"/>
          <w:sz w:val="32"/>
          <w:szCs w:val="32"/>
          <w:highlight w:val="none"/>
          <w:lang w:val="en-US" w:eastAsia="zh-CN"/>
        </w:rPr>
        <w:t>3</w:t>
      </w:r>
      <w:r>
        <w:rPr>
          <w:rFonts w:hint="eastAsia" w:ascii="仿宋_GB2312" w:hAnsi="仿宋_GB2312" w:eastAsia="仿宋_GB2312" w:cs="仿宋_GB2312"/>
          <w:b w:val="0"/>
          <w:bCs w:val="0"/>
          <w:snapToGrid/>
          <w:color w:val="auto"/>
          <w:sz w:val="32"/>
          <w:szCs w:val="32"/>
          <w:highlight w:val="none"/>
          <w:lang w:eastAsia="zh-CN"/>
        </w:rPr>
        <w:t>项进行加分。</w:t>
      </w:r>
    </w:p>
    <w:p w14:paraId="3C089916">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 xml:space="preserve"> （</w:t>
      </w:r>
      <w:r>
        <w:rPr>
          <w:rFonts w:hint="eastAsia" w:ascii="仿宋_GB2312" w:hAnsi="仿宋_GB2312" w:eastAsia="仿宋_GB2312" w:cs="仿宋_GB2312"/>
          <w:b w:val="0"/>
          <w:bCs w:val="0"/>
          <w:snapToGrid/>
          <w:color w:val="auto"/>
          <w:sz w:val="32"/>
          <w:szCs w:val="32"/>
          <w:lang w:val="en-US" w:eastAsia="zh-CN"/>
        </w:rPr>
        <w:t>二</w:t>
      </w:r>
      <w:r>
        <w:rPr>
          <w:rFonts w:hint="eastAsia" w:ascii="仿宋_GB2312" w:hAnsi="仿宋_GB2312" w:eastAsia="仿宋_GB2312" w:cs="仿宋_GB2312"/>
          <w:b w:val="0"/>
          <w:bCs w:val="0"/>
          <w:snapToGrid/>
          <w:color w:val="auto"/>
          <w:sz w:val="32"/>
          <w:szCs w:val="32"/>
          <w:lang w:eastAsia="zh-CN"/>
        </w:rPr>
        <w:t>）第二类竞赛加分</w:t>
      </w:r>
    </w:p>
    <w:tbl>
      <w:tblPr>
        <w:tblStyle w:val="8"/>
        <w:tblW w:w="10226" w:type="dxa"/>
        <w:tblInd w:w="-444" w:type="dxa"/>
        <w:tblLayout w:type="fixed"/>
        <w:tblCellMar>
          <w:top w:w="0" w:type="dxa"/>
          <w:left w:w="108" w:type="dxa"/>
          <w:bottom w:w="0" w:type="dxa"/>
          <w:right w:w="108" w:type="dxa"/>
        </w:tblCellMar>
      </w:tblPr>
      <w:tblGrid>
        <w:gridCol w:w="875"/>
        <w:gridCol w:w="708"/>
        <w:gridCol w:w="557"/>
        <w:gridCol w:w="567"/>
        <w:gridCol w:w="709"/>
        <w:gridCol w:w="567"/>
        <w:gridCol w:w="425"/>
        <w:gridCol w:w="426"/>
        <w:gridCol w:w="708"/>
        <w:gridCol w:w="567"/>
        <w:gridCol w:w="567"/>
        <w:gridCol w:w="567"/>
        <w:gridCol w:w="709"/>
        <w:gridCol w:w="425"/>
        <w:gridCol w:w="567"/>
        <w:gridCol w:w="567"/>
        <w:gridCol w:w="715"/>
      </w:tblGrid>
      <w:tr w14:paraId="06946B3F">
        <w:tblPrEx>
          <w:tblCellMar>
            <w:top w:w="0" w:type="dxa"/>
            <w:left w:w="108" w:type="dxa"/>
            <w:bottom w:w="0" w:type="dxa"/>
            <w:right w:w="108" w:type="dxa"/>
          </w:tblCellMar>
        </w:tblPrEx>
        <w:trPr>
          <w:trHeight w:val="499" w:hRule="atLeast"/>
        </w:trPr>
        <w:tc>
          <w:tcPr>
            <w:tcW w:w="87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0E5AEB2">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级别</w:t>
            </w:r>
          </w:p>
        </w:tc>
        <w:tc>
          <w:tcPr>
            <w:tcW w:w="2541" w:type="dxa"/>
            <w:gridSpan w:val="4"/>
            <w:tcBorders>
              <w:top w:val="single" w:color="auto" w:sz="4" w:space="0"/>
              <w:left w:val="single" w:color="auto" w:sz="4" w:space="0"/>
              <w:bottom w:val="single" w:color="auto" w:sz="4" w:space="0"/>
              <w:right w:val="single" w:color="auto" w:sz="4" w:space="0"/>
            </w:tcBorders>
          </w:tcPr>
          <w:p w14:paraId="766BA400">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国家级</w:t>
            </w:r>
          </w:p>
        </w:tc>
        <w:tc>
          <w:tcPr>
            <w:tcW w:w="2126"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A7F7CD4">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省部级</w:t>
            </w:r>
          </w:p>
        </w:tc>
        <w:tc>
          <w:tcPr>
            <w:tcW w:w="2410"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7E488FD">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校（市）级</w:t>
            </w:r>
          </w:p>
        </w:tc>
        <w:tc>
          <w:tcPr>
            <w:tcW w:w="2274"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5681FB1">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学院</w:t>
            </w:r>
          </w:p>
        </w:tc>
      </w:tr>
      <w:tr w14:paraId="4965F7BB">
        <w:tblPrEx>
          <w:tblCellMar>
            <w:top w:w="0" w:type="dxa"/>
            <w:left w:w="108" w:type="dxa"/>
            <w:bottom w:w="0" w:type="dxa"/>
            <w:right w:w="108" w:type="dxa"/>
          </w:tblCellMar>
        </w:tblPrEx>
        <w:trPr>
          <w:trHeight w:val="558" w:hRule="atLeast"/>
        </w:trPr>
        <w:tc>
          <w:tcPr>
            <w:tcW w:w="87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6E30E3B">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等级</w:t>
            </w:r>
          </w:p>
        </w:tc>
        <w:tc>
          <w:tcPr>
            <w:tcW w:w="708" w:type="dxa"/>
            <w:tcBorders>
              <w:top w:val="single" w:color="auto" w:sz="4" w:space="0"/>
              <w:left w:val="single" w:color="auto" w:sz="4" w:space="0"/>
              <w:bottom w:val="single" w:color="auto" w:sz="4" w:space="0"/>
              <w:right w:val="single" w:color="auto" w:sz="4" w:space="0"/>
            </w:tcBorders>
            <w:vAlign w:val="center"/>
          </w:tcPr>
          <w:p w14:paraId="4FA5A5B4">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特等</w:t>
            </w:r>
          </w:p>
        </w:tc>
        <w:tc>
          <w:tcPr>
            <w:tcW w:w="557" w:type="dxa"/>
            <w:tcBorders>
              <w:top w:val="single" w:color="auto" w:sz="4" w:space="0"/>
              <w:left w:val="single" w:color="auto" w:sz="4" w:space="0"/>
              <w:bottom w:val="single" w:color="auto" w:sz="4" w:space="0"/>
              <w:right w:val="single" w:color="auto" w:sz="4" w:space="0"/>
            </w:tcBorders>
            <w:vAlign w:val="center"/>
          </w:tcPr>
          <w:p w14:paraId="20D2D40B">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一等</w:t>
            </w:r>
          </w:p>
        </w:tc>
        <w:tc>
          <w:tcPr>
            <w:tcW w:w="567" w:type="dxa"/>
            <w:tcBorders>
              <w:top w:val="single" w:color="auto" w:sz="4" w:space="0"/>
              <w:left w:val="single" w:color="auto" w:sz="4" w:space="0"/>
              <w:bottom w:val="single" w:color="auto" w:sz="4" w:space="0"/>
              <w:right w:val="single" w:color="auto" w:sz="4" w:space="0"/>
            </w:tcBorders>
            <w:vAlign w:val="center"/>
          </w:tcPr>
          <w:p w14:paraId="531D61D1">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二等</w:t>
            </w:r>
          </w:p>
        </w:tc>
        <w:tc>
          <w:tcPr>
            <w:tcW w:w="709" w:type="dxa"/>
            <w:tcBorders>
              <w:top w:val="single" w:color="auto" w:sz="4" w:space="0"/>
              <w:left w:val="single" w:color="auto" w:sz="4" w:space="0"/>
              <w:bottom w:val="single" w:color="auto" w:sz="4" w:space="0"/>
              <w:right w:val="single" w:color="auto" w:sz="4" w:space="0"/>
            </w:tcBorders>
            <w:vAlign w:val="center"/>
          </w:tcPr>
          <w:p w14:paraId="293E7521">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三等</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C204389">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特等</w:t>
            </w:r>
          </w:p>
        </w:tc>
        <w:tc>
          <w:tcPr>
            <w:tcW w:w="42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CCBC2B9">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一等</w:t>
            </w:r>
          </w:p>
        </w:tc>
        <w:tc>
          <w:tcPr>
            <w:tcW w:w="4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FFA18E3">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二等</w:t>
            </w:r>
          </w:p>
        </w:tc>
        <w:tc>
          <w:tcPr>
            <w:tcW w:w="708" w:type="dxa"/>
            <w:tcBorders>
              <w:top w:val="single" w:color="auto" w:sz="4" w:space="0"/>
              <w:left w:val="single" w:color="auto" w:sz="4" w:space="0"/>
              <w:bottom w:val="single" w:color="auto" w:sz="4" w:space="0"/>
              <w:right w:val="single" w:color="auto" w:sz="4" w:space="0"/>
            </w:tcBorders>
            <w:vAlign w:val="center"/>
          </w:tcPr>
          <w:p w14:paraId="0899829A">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三等</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4340206">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特等</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A3E5CDF">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一等</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57DB5CC">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二等</w:t>
            </w:r>
          </w:p>
        </w:tc>
        <w:tc>
          <w:tcPr>
            <w:tcW w:w="709" w:type="dxa"/>
            <w:tcBorders>
              <w:top w:val="single" w:color="auto" w:sz="4" w:space="0"/>
              <w:left w:val="single" w:color="auto" w:sz="4" w:space="0"/>
              <w:bottom w:val="single" w:color="auto" w:sz="4" w:space="0"/>
              <w:right w:val="single" w:color="auto" w:sz="4" w:space="0"/>
            </w:tcBorders>
            <w:vAlign w:val="center"/>
          </w:tcPr>
          <w:p w14:paraId="62B42454">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三等</w:t>
            </w:r>
          </w:p>
        </w:tc>
        <w:tc>
          <w:tcPr>
            <w:tcW w:w="42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3E2A6D3">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特等</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926AD3E">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一等</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BD0ED06">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二等</w:t>
            </w:r>
          </w:p>
        </w:tc>
        <w:tc>
          <w:tcPr>
            <w:tcW w:w="715" w:type="dxa"/>
            <w:tcBorders>
              <w:top w:val="single" w:color="auto" w:sz="4" w:space="0"/>
              <w:left w:val="single" w:color="auto" w:sz="4" w:space="0"/>
              <w:bottom w:val="single" w:color="auto" w:sz="4" w:space="0"/>
              <w:right w:val="single" w:color="auto" w:sz="4" w:space="0"/>
            </w:tcBorders>
            <w:vAlign w:val="center"/>
          </w:tcPr>
          <w:p w14:paraId="192206A7">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三等</w:t>
            </w:r>
          </w:p>
        </w:tc>
      </w:tr>
      <w:tr w14:paraId="32E628A3">
        <w:tblPrEx>
          <w:tblCellMar>
            <w:top w:w="0" w:type="dxa"/>
            <w:left w:w="108" w:type="dxa"/>
            <w:bottom w:w="0" w:type="dxa"/>
            <w:right w:w="108" w:type="dxa"/>
          </w:tblCellMar>
        </w:tblPrEx>
        <w:trPr>
          <w:trHeight w:val="551" w:hRule="atLeast"/>
        </w:trPr>
        <w:tc>
          <w:tcPr>
            <w:tcW w:w="87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7DD8A36">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加分</w:t>
            </w:r>
          </w:p>
        </w:tc>
        <w:tc>
          <w:tcPr>
            <w:tcW w:w="708" w:type="dxa"/>
            <w:tcBorders>
              <w:top w:val="single" w:color="auto" w:sz="4" w:space="0"/>
              <w:left w:val="single" w:color="auto" w:sz="4" w:space="0"/>
              <w:bottom w:val="single" w:color="auto" w:sz="4" w:space="0"/>
              <w:right w:val="single" w:color="auto" w:sz="4" w:space="0"/>
            </w:tcBorders>
          </w:tcPr>
          <w:p w14:paraId="390C2C2F">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25</w:t>
            </w:r>
          </w:p>
        </w:tc>
        <w:tc>
          <w:tcPr>
            <w:tcW w:w="557" w:type="dxa"/>
            <w:tcBorders>
              <w:top w:val="single" w:color="auto" w:sz="4" w:space="0"/>
              <w:left w:val="single" w:color="auto" w:sz="4" w:space="0"/>
              <w:bottom w:val="single" w:color="auto" w:sz="4" w:space="0"/>
              <w:right w:val="single" w:color="auto" w:sz="4" w:space="0"/>
            </w:tcBorders>
          </w:tcPr>
          <w:p w14:paraId="2307D680">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val="en-US" w:eastAsia="zh-CN"/>
              </w:rPr>
            </w:pPr>
            <w:r>
              <w:rPr>
                <w:rFonts w:hint="eastAsia" w:ascii="仿宋_GB2312" w:hAnsi="仿宋_GB2312" w:eastAsia="仿宋_GB2312" w:cs="仿宋_GB2312"/>
                <w:b w:val="0"/>
                <w:bCs w:val="0"/>
                <w:snapToGrid/>
                <w:color w:val="auto"/>
                <w:sz w:val="32"/>
                <w:szCs w:val="32"/>
                <w:lang w:val="en-US" w:eastAsia="zh-CN"/>
              </w:rPr>
              <w:t>18</w:t>
            </w:r>
          </w:p>
        </w:tc>
        <w:tc>
          <w:tcPr>
            <w:tcW w:w="567" w:type="dxa"/>
            <w:tcBorders>
              <w:top w:val="single" w:color="auto" w:sz="4" w:space="0"/>
              <w:left w:val="single" w:color="auto" w:sz="4" w:space="0"/>
              <w:bottom w:val="single" w:color="auto" w:sz="4" w:space="0"/>
              <w:right w:val="single" w:color="auto" w:sz="4" w:space="0"/>
            </w:tcBorders>
          </w:tcPr>
          <w:p w14:paraId="7EBCB4A7">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val="en-US" w:eastAsia="zh-CN"/>
              </w:rPr>
            </w:pPr>
            <w:r>
              <w:rPr>
                <w:rFonts w:hint="eastAsia" w:ascii="仿宋_GB2312" w:hAnsi="仿宋_GB2312" w:eastAsia="仿宋_GB2312" w:cs="仿宋_GB2312"/>
                <w:b w:val="0"/>
                <w:bCs w:val="0"/>
                <w:snapToGrid/>
                <w:color w:val="auto"/>
                <w:sz w:val="32"/>
                <w:szCs w:val="32"/>
                <w:lang w:val="en-US" w:eastAsia="zh-CN"/>
              </w:rPr>
              <w:t>10</w:t>
            </w:r>
          </w:p>
        </w:tc>
        <w:tc>
          <w:tcPr>
            <w:tcW w:w="709" w:type="dxa"/>
            <w:tcBorders>
              <w:top w:val="single" w:color="auto" w:sz="4" w:space="0"/>
              <w:left w:val="single" w:color="auto" w:sz="4" w:space="0"/>
              <w:bottom w:val="single" w:color="auto" w:sz="4" w:space="0"/>
              <w:right w:val="single" w:color="auto" w:sz="4" w:space="0"/>
            </w:tcBorders>
          </w:tcPr>
          <w:p w14:paraId="286B67CD">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val="en-US" w:eastAsia="zh-CN"/>
              </w:rPr>
            </w:pPr>
            <w:r>
              <w:rPr>
                <w:rFonts w:hint="eastAsia" w:ascii="仿宋_GB2312" w:hAnsi="仿宋_GB2312" w:eastAsia="仿宋_GB2312" w:cs="仿宋_GB2312"/>
                <w:b w:val="0"/>
                <w:bCs w:val="0"/>
                <w:snapToGrid/>
                <w:color w:val="auto"/>
                <w:sz w:val="32"/>
                <w:szCs w:val="32"/>
                <w:lang w:val="en-US" w:eastAsia="zh-CN"/>
              </w:rPr>
              <w:t>5</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B79E423">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15</w:t>
            </w:r>
          </w:p>
        </w:tc>
        <w:tc>
          <w:tcPr>
            <w:tcW w:w="42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E31E330">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10</w:t>
            </w:r>
          </w:p>
        </w:tc>
        <w:tc>
          <w:tcPr>
            <w:tcW w:w="4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AE5856C">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5</w:t>
            </w:r>
          </w:p>
        </w:tc>
        <w:tc>
          <w:tcPr>
            <w:tcW w:w="708" w:type="dxa"/>
            <w:tcBorders>
              <w:top w:val="single" w:color="auto" w:sz="4" w:space="0"/>
              <w:left w:val="single" w:color="auto" w:sz="4" w:space="0"/>
              <w:bottom w:val="single" w:color="auto" w:sz="4" w:space="0"/>
              <w:right w:val="single" w:color="auto" w:sz="4" w:space="0"/>
            </w:tcBorders>
            <w:vAlign w:val="center"/>
          </w:tcPr>
          <w:p w14:paraId="023C6A0A">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2</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2BCA107">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5</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97A6781">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2</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7E1A829">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w:t>
            </w:r>
          </w:p>
        </w:tc>
        <w:tc>
          <w:tcPr>
            <w:tcW w:w="709" w:type="dxa"/>
            <w:tcBorders>
              <w:top w:val="single" w:color="auto" w:sz="4" w:space="0"/>
              <w:left w:val="single" w:color="auto" w:sz="4" w:space="0"/>
              <w:bottom w:val="single" w:color="auto" w:sz="4" w:space="0"/>
              <w:right w:val="single" w:color="auto" w:sz="4" w:space="0"/>
            </w:tcBorders>
            <w:vAlign w:val="center"/>
          </w:tcPr>
          <w:p w14:paraId="56FD271A">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0.6</w:t>
            </w:r>
          </w:p>
        </w:tc>
        <w:tc>
          <w:tcPr>
            <w:tcW w:w="42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8D1F41A">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98E5340">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0.6</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41C94DE">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0.4</w:t>
            </w:r>
          </w:p>
        </w:tc>
        <w:tc>
          <w:tcPr>
            <w:tcW w:w="715" w:type="dxa"/>
            <w:tcBorders>
              <w:top w:val="single" w:color="auto" w:sz="4" w:space="0"/>
              <w:left w:val="single" w:color="auto" w:sz="4" w:space="0"/>
              <w:bottom w:val="single" w:color="auto" w:sz="4" w:space="0"/>
              <w:right w:val="single" w:color="auto" w:sz="4" w:space="0"/>
            </w:tcBorders>
            <w:vAlign w:val="center"/>
          </w:tcPr>
          <w:p w14:paraId="7787E196">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0.3</w:t>
            </w:r>
          </w:p>
        </w:tc>
      </w:tr>
    </w:tbl>
    <w:p w14:paraId="42B1B37B">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 xml:space="preserve">说明: </w:t>
      </w:r>
    </w:p>
    <w:p w14:paraId="363F4D5A">
      <w:pPr>
        <w:keepNext w:val="0"/>
        <w:keepLines w:val="0"/>
        <w:pageBreakBefore w:val="0"/>
        <w:numPr>
          <w:ilvl w:val="0"/>
          <w:numId w:val="0"/>
        </w:numPr>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1</w:t>
      </w:r>
      <w:r>
        <w:rPr>
          <w:rFonts w:hint="eastAsia" w:ascii="仿宋_GB2312" w:hAnsi="仿宋_GB2312" w:eastAsia="仿宋_GB2312" w:cs="仿宋_GB2312"/>
          <w:b w:val="0"/>
          <w:bCs w:val="0"/>
          <w:snapToGrid/>
          <w:color w:val="auto"/>
          <w:sz w:val="32"/>
          <w:szCs w:val="32"/>
          <w:lang w:eastAsia="zh-CN"/>
        </w:rPr>
        <w:t>）第二类竞赛是除了第一类竞赛之外的其他与土木、水利、海洋等学科有关的</w:t>
      </w:r>
      <w:r>
        <w:rPr>
          <w:rFonts w:hint="eastAsia" w:ascii="仿宋_GB2312" w:hAnsi="仿宋_GB2312" w:eastAsia="仿宋_GB2312" w:cs="仿宋_GB2312"/>
          <w:b w:val="0"/>
          <w:bCs w:val="0"/>
          <w:snapToGrid/>
          <w:color w:val="auto"/>
          <w:sz w:val="32"/>
          <w:szCs w:val="32"/>
          <w:lang w:val="en-US" w:eastAsia="zh-CN"/>
        </w:rPr>
        <w:t>高水平</w:t>
      </w:r>
      <w:r>
        <w:rPr>
          <w:rFonts w:hint="eastAsia" w:ascii="仿宋_GB2312" w:hAnsi="仿宋_GB2312" w:eastAsia="仿宋_GB2312" w:cs="仿宋_GB2312"/>
          <w:b w:val="0"/>
          <w:bCs w:val="0"/>
          <w:snapToGrid/>
          <w:color w:val="auto"/>
          <w:sz w:val="32"/>
          <w:szCs w:val="32"/>
          <w:lang w:eastAsia="zh-CN"/>
        </w:rPr>
        <w:t>竞赛或者经学院研究生奖助学金评审委员会讨论认</w:t>
      </w:r>
      <w:r>
        <w:rPr>
          <w:rFonts w:hint="eastAsia" w:ascii="仿宋_GB2312" w:hAnsi="仿宋_GB2312" w:eastAsia="仿宋_GB2312" w:cs="仿宋_GB2312"/>
          <w:b w:val="0"/>
          <w:bCs w:val="0"/>
          <w:snapToGrid/>
          <w:color w:val="auto"/>
          <w:sz w:val="32"/>
          <w:szCs w:val="32"/>
          <w:lang w:val="en-US" w:eastAsia="zh-CN"/>
        </w:rPr>
        <w:t>可</w:t>
      </w:r>
      <w:r>
        <w:rPr>
          <w:rFonts w:hint="eastAsia" w:ascii="仿宋_GB2312" w:hAnsi="仿宋_GB2312" w:eastAsia="仿宋_GB2312" w:cs="仿宋_GB2312"/>
          <w:b w:val="0"/>
          <w:bCs w:val="0"/>
          <w:snapToGrid/>
          <w:color w:val="auto"/>
          <w:sz w:val="32"/>
          <w:szCs w:val="32"/>
          <w:lang w:eastAsia="zh-CN"/>
        </w:rPr>
        <w:t>的</w:t>
      </w:r>
      <w:r>
        <w:rPr>
          <w:rFonts w:hint="eastAsia" w:ascii="仿宋_GB2312" w:hAnsi="仿宋_GB2312" w:eastAsia="仿宋_GB2312" w:cs="仿宋_GB2312"/>
          <w:b w:val="0"/>
          <w:bCs w:val="0"/>
          <w:snapToGrid/>
          <w:color w:val="auto"/>
          <w:sz w:val="32"/>
          <w:szCs w:val="32"/>
          <w:highlight w:val="none"/>
          <w:lang w:eastAsia="zh-CN"/>
        </w:rPr>
        <w:t>专业竞赛。</w:t>
      </w:r>
    </w:p>
    <w:p w14:paraId="35873D1A">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2</w:t>
      </w:r>
      <w:r>
        <w:rPr>
          <w:rFonts w:hint="eastAsia" w:ascii="仿宋_GB2312" w:hAnsi="仿宋_GB2312" w:eastAsia="仿宋_GB2312" w:cs="仿宋_GB2312"/>
          <w:b w:val="0"/>
          <w:bCs w:val="0"/>
          <w:snapToGrid/>
          <w:color w:val="auto"/>
          <w:sz w:val="32"/>
          <w:szCs w:val="32"/>
          <w:lang w:eastAsia="zh-CN"/>
        </w:rPr>
        <w:t>）以上加分值为项目分值，</w:t>
      </w:r>
      <w:r>
        <w:rPr>
          <w:rFonts w:hint="eastAsia" w:ascii="仿宋_GB2312" w:hAnsi="仿宋_GB2312" w:eastAsia="仿宋_GB2312" w:cs="仿宋_GB2312"/>
          <w:b w:val="0"/>
          <w:bCs w:val="0"/>
          <w:snapToGrid/>
          <w:color w:val="auto"/>
          <w:sz w:val="32"/>
          <w:szCs w:val="32"/>
          <w:highlight w:val="none"/>
          <w:lang w:eastAsia="zh-CN"/>
        </w:rPr>
        <w:t>团队项目负责人得分</w:t>
      </w:r>
      <w:r>
        <w:rPr>
          <w:rFonts w:hint="eastAsia" w:ascii="仿宋_GB2312" w:hAnsi="仿宋_GB2312" w:eastAsia="仿宋_GB2312" w:cs="仿宋_GB2312"/>
          <w:b w:val="0"/>
          <w:bCs w:val="0"/>
          <w:snapToGrid/>
          <w:color w:val="auto"/>
          <w:sz w:val="32"/>
          <w:szCs w:val="32"/>
          <w:highlight w:val="none"/>
          <w:lang w:val="en-US" w:eastAsia="zh-CN"/>
        </w:rPr>
        <w:t>6</w:t>
      </w:r>
      <w:r>
        <w:rPr>
          <w:rFonts w:hint="eastAsia" w:ascii="仿宋_GB2312" w:hAnsi="仿宋_GB2312" w:eastAsia="仿宋_GB2312" w:cs="仿宋_GB2312"/>
          <w:b w:val="0"/>
          <w:bCs w:val="0"/>
          <w:snapToGrid/>
          <w:color w:val="auto"/>
          <w:sz w:val="32"/>
          <w:szCs w:val="32"/>
          <w:highlight w:val="none"/>
          <w:lang w:eastAsia="zh-CN"/>
        </w:rPr>
        <w:t>0%，其余人完成人均分</w:t>
      </w:r>
      <w:r>
        <w:rPr>
          <w:rFonts w:hint="eastAsia" w:ascii="仿宋_GB2312" w:hAnsi="仿宋_GB2312" w:eastAsia="仿宋_GB2312" w:cs="仿宋_GB2312"/>
          <w:b w:val="0"/>
          <w:bCs w:val="0"/>
          <w:snapToGrid/>
          <w:color w:val="auto"/>
          <w:sz w:val="32"/>
          <w:szCs w:val="32"/>
          <w:highlight w:val="none"/>
          <w:lang w:val="en-US" w:eastAsia="zh-CN"/>
        </w:rPr>
        <w:t>4</w:t>
      </w:r>
      <w:r>
        <w:rPr>
          <w:rFonts w:hint="eastAsia" w:ascii="仿宋_GB2312" w:hAnsi="仿宋_GB2312" w:eastAsia="仿宋_GB2312" w:cs="仿宋_GB2312"/>
          <w:b w:val="0"/>
          <w:bCs w:val="0"/>
          <w:snapToGrid/>
          <w:color w:val="auto"/>
          <w:sz w:val="32"/>
          <w:szCs w:val="32"/>
          <w:highlight w:val="none"/>
          <w:lang w:eastAsia="zh-CN"/>
        </w:rPr>
        <w:t>0%得分。</w:t>
      </w:r>
    </w:p>
    <w:p w14:paraId="203FEC42">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（3）参加同一比赛按照最高奖项计算得分。</w:t>
      </w:r>
    </w:p>
    <w:p w14:paraId="4F576356">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（4）如有赛事可同时归属于上述第一类竞赛和第二类竞赛，则按最高值加分。</w:t>
      </w:r>
    </w:p>
    <w:p w14:paraId="668ABF65">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5</w:t>
      </w:r>
      <w:r>
        <w:rPr>
          <w:rFonts w:hint="eastAsia" w:ascii="仿宋_GB2312" w:hAnsi="仿宋_GB2312" w:eastAsia="仿宋_GB2312" w:cs="仿宋_GB2312"/>
          <w:b w:val="0"/>
          <w:bCs w:val="0"/>
          <w:snapToGrid/>
          <w:color w:val="auto"/>
          <w:sz w:val="32"/>
          <w:szCs w:val="32"/>
          <w:lang w:eastAsia="zh-CN"/>
        </w:rPr>
        <w:t>）竞赛成果原则上应以竞赛获奖证书或官方网站公布结果为判定依据,且该成果在加分评定时限内。如获得金奖、银奖、铜奖，分别对应特、一、二等奖。</w:t>
      </w:r>
      <w:r>
        <w:rPr>
          <w:rFonts w:hint="eastAsia" w:ascii="仿宋_GB2312" w:hAnsi="仿宋_GB2312" w:eastAsia="仿宋_GB2312" w:cs="仿宋_GB2312"/>
          <w:b w:val="0"/>
          <w:bCs w:val="0"/>
          <w:snapToGrid/>
          <w:color w:val="auto"/>
          <w:sz w:val="32"/>
          <w:szCs w:val="32"/>
          <w:highlight w:val="none"/>
          <w:lang w:eastAsia="zh-CN"/>
        </w:rPr>
        <w:t>不设特等奖的赛事，一等奖加分值等同于特等奖，其他等级以此类推。</w:t>
      </w:r>
    </w:p>
    <w:p w14:paraId="73DD67C5">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（6）</w:t>
      </w:r>
      <w:r>
        <w:rPr>
          <w:rFonts w:hint="eastAsia" w:ascii="仿宋_GB2312" w:hAnsi="仿宋_GB2312" w:eastAsia="仿宋_GB2312" w:cs="仿宋_GB2312"/>
          <w:b w:val="0"/>
          <w:bCs w:val="0"/>
          <w:snapToGrid/>
          <w:color w:val="auto"/>
          <w:sz w:val="32"/>
          <w:szCs w:val="32"/>
          <w:highlight w:val="none"/>
          <w:lang w:val="en-US" w:eastAsia="zh-CN"/>
        </w:rPr>
        <w:t>第二类赛事</w:t>
      </w:r>
      <w:r>
        <w:rPr>
          <w:rFonts w:hint="eastAsia" w:ascii="仿宋_GB2312" w:hAnsi="仿宋_GB2312" w:eastAsia="仿宋_GB2312" w:cs="仿宋_GB2312"/>
          <w:b w:val="0"/>
          <w:bCs w:val="0"/>
          <w:snapToGrid/>
          <w:color w:val="auto"/>
          <w:sz w:val="32"/>
          <w:szCs w:val="32"/>
          <w:highlight w:val="none"/>
          <w:lang w:eastAsia="zh-CN"/>
        </w:rPr>
        <w:t>参</w:t>
      </w:r>
      <w:r>
        <w:rPr>
          <w:rFonts w:hint="eastAsia" w:ascii="仿宋_GB2312" w:hAnsi="仿宋_GB2312" w:eastAsia="仿宋_GB2312" w:cs="仿宋_GB2312"/>
          <w:b w:val="0"/>
          <w:bCs w:val="0"/>
          <w:snapToGrid/>
          <w:color w:val="auto"/>
          <w:sz w:val="32"/>
          <w:szCs w:val="32"/>
          <w:lang w:eastAsia="zh-CN"/>
        </w:rPr>
        <w:t>评学年仅限含金量最好的2项进行加分。</w:t>
      </w:r>
    </w:p>
    <w:p w14:paraId="0FE2E7DB">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（7）对于只要参赛或提交作品等就能获奖的奖励/荣誉（如“优胜奖”、“参与奖”等），以及各类刷题和不正规的低水平比赛，此类情况不予加分。</w:t>
      </w:r>
    </w:p>
    <w:p w14:paraId="6F2BA2A5">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val="en-US"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8</w:t>
      </w: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对于部分含金量较低的赛事，经班级、年级和学院层面评议，认为未达到同级别相关赛事水准而不应当加分的，不予认可加分。</w:t>
      </w:r>
    </w:p>
    <w:p w14:paraId="67C7647A">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9</w:t>
      </w:r>
      <w:r>
        <w:rPr>
          <w:rFonts w:hint="eastAsia" w:ascii="仿宋_GB2312" w:hAnsi="仿宋_GB2312" w:eastAsia="仿宋_GB2312" w:cs="仿宋_GB2312"/>
          <w:b w:val="0"/>
          <w:bCs w:val="0"/>
          <w:snapToGrid/>
          <w:color w:val="auto"/>
          <w:sz w:val="32"/>
          <w:szCs w:val="32"/>
          <w:lang w:eastAsia="zh-CN"/>
        </w:rPr>
        <w:t>）竞赛奖励需导师签名确认。</w:t>
      </w:r>
    </w:p>
    <w:p w14:paraId="1404CF90">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bCs/>
          <w:snapToGrid/>
          <w:color w:val="auto"/>
          <w:sz w:val="32"/>
          <w:szCs w:val="32"/>
          <w:lang w:val="en-US" w:eastAsia="zh-CN"/>
        </w:rPr>
        <w:t xml:space="preserve">  第十二条 </w:t>
      </w:r>
      <w:r>
        <w:rPr>
          <w:rFonts w:hint="eastAsia" w:ascii="仿宋_GB2312" w:hAnsi="仿宋_GB2312" w:eastAsia="仿宋_GB2312" w:cs="仿宋_GB2312"/>
          <w:b w:val="0"/>
          <w:bCs w:val="0"/>
          <w:snapToGrid/>
          <w:color w:val="auto"/>
          <w:sz w:val="32"/>
          <w:szCs w:val="32"/>
          <w:lang w:eastAsia="zh-CN"/>
        </w:rPr>
        <w:t>学生工作和评优评先类</w:t>
      </w:r>
    </w:p>
    <w:p w14:paraId="179B8F52">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一</w:t>
      </w:r>
      <w:r>
        <w:rPr>
          <w:rFonts w:hint="eastAsia" w:ascii="仿宋_GB2312" w:hAnsi="仿宋_GB2312" w:eastAsia="仿宋_GB2312" w:cs="仿宋_GB2312"/>
          <w:b w:val="0"/>
          <w:bCs w:val="0"/>
          <w:snapToGrid/>
          <w:color w:val="auto"/>
          <w:sz w:val="32"/>
          <w:szCs w:val="32"/>
          <w:lang w:eastAsia="zh-CN"/>
        </w:rPr>
        <w:t xml:space="preserve">）学生工作加分 </w:t>
      </w:r>
    </w:p>
    <w:tbl>
      <w:tblPr>
        <w:tblStyle w:val="8"/>
        <w:tblW w:w="8713" w:type="dxa"/>
        <w:jc w:val="center"/>
        <w:tblLayout w:type="fixed"/>
        <w:tblCellMar>
          <w:top w:w="0" w:type="dxa"/>
          <w:left w:w="108" w:type="dxa"/>
          <w:bottom w:w="0" w:type="dxa"/>
          <w:right w:w="108" w:type="dxa"/>
        </w:tblCellMar>
      </w:tblPr>
      <w:tblGrid>
        <w:gridCol w:w="7592"/>
        <w:gridCol w:w="1121"/>
      </w:tblGrid>
      <w:tr w14:paraId="7850491A">
        <w:tblPrEx>
          <w:tblCellMar>
            <w:top w:w="0" w:type="dxa"/>
            <w:left w:w="108" w:type="dxa"/>
            <w:bottom w:w="0" w:type="dxa"/>
            <w:right w:w="108" w:type="dxa"/>
          </w:tblCellMar>
        </w:tblPrEx>
        <w:trPr>
          <w:jc w:val="center"/>
        </w:trPr>
        <w:tc>
          <w:tcPr>
            <w:tcW w:w="7592" w:type="dxa"/>
            <w:tcBorders>
              <w:top w:val="single" w:color="auto" w:sz="4" w:space="0"/>
              <w:left w:val="single" w:color="auto" w:sz="4" w:space="0"/>
              <w:bottom w:val="single" w:color="auto" w:sz="4" w:space="0"/>
              <w:right w:val="single" w:color="auto" w:sz="4" w:space="0"/>
            </w:tcBorders>
            <w:vAlign w:val="center"/>
          </w:tcPr>
          <w:p w14:paraId="45D6059F">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drawing>
                <wp:inline distT="0" distB="0" distL="0" distR="0">
                  <wp:extent cx="12700" cy="12700"/>
                  <wp:effectExtent l="0" t="0" r="0" b="0"/>
                  <wp:docPr id="1026" name="图片 11"/>
                  <wp:cNvGraphicFramePr/>
                  <a:graphic xmlns:a="http://schemas.openxmlformats.org/drawingml/2006/main">
                    <a:graphicData uri="http://schemas.openxmlformats.org/drawingml/2006/picture">
                      <pic:pic xmlns:pic="http://schemas.openxmlformats.org/drawingml/2006/picture">
                        <pic:nvPicPr>
                          <pic:cNvPr id="1026" name="图片 11"/>
                          <pic:cNvPicPr/>
                        </pic:nvPicPr>
                        <pic:blipFill>
                          <a:blip r:embed="rId6" cstate="print"/>
                          <a:stretch>
                            <a:fillRect/>
                          </a:stretch>
                        </pic:blipFill>
                        <pic:spPr>
                          <a:xfrm>
                            <a:off x="0" y="0"/>
                            <a:ext cx="12700" cy="12700"/>
                          </a:xfrm>
                          <a:prstGeom prst="rect">
                            <a:avLst/>
                          </a:prstGeom>
                          <a:ln>
                            <a:noFill/>
                          </a:ln>
                        </pic:spPr>
                      </pic:pic>
                    </a:graphicData>
                  </a:graphic>
                </wp:inline>
              </w:drawing>
            </w:r>
            <w:r>
              <w:rPr>
                <w:rFonts w:hint="eastAsia" w:ascii="仿宋_GB2312" w:hAnsi="仿宋_GB2312" w:eastAsia="仿宋_GB2312" w:cs="仿宋_GB2312"/>
                <w:b w:val="0"/>
                <w:bCs w:val="0"/>
                <w:snapToGrid/>
                <w:color w:val="auto"/>
                <w:sz w:val="32"/>
                <w:szCs w:val="32"/>
                <w:lang w:eastAsia="zh-CN"/>
              </w:rPr>
              <w:t>加分条件</w:t>
            </w:r>
          </w:p>
        </w:tc>
        <w:tc>
          <w:tcPr>
            <w:tcW w:w="112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EA26D84">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加分</w:t>
            </w:r>
          </w:p>
        </w:tc>
      </w:tr>
      <w:tr w14:paraId="4CF0B02A">
        <w:tblPrEx>
          <w:tblCellMar>
            <w:top w:w="0" w:type="dxa"/>
            <w:left w:w="108" w:type="dxa"/>
            <w:bottom w:w="0" w:type="dxa"/>
            <w:right w:w="108" w:type="dxa"/>
          </w:tblCellMar>
        </w:tblPrEx>
        <w:trPr>
          <w:jc w:val="center"/>
        </w:trPr>
        <w:tc>
          <w:tcPr>
            <w:tcW w:w="7592" w:type="dxa"/>
            <w:tcBorders>
              <w:top w:val="single" w:color="auto" w:sz="4" w:space="0"/>
              <w:left w:val="single" w:color="auto" w:sz="4" w:space="0"/>
              <w:bottom w:val="single" w:color="auto" w:sz="4" w:space="0"/>
              <w:right w:val="single" w:color="auto" w:sz="4" w:space="0"/>
            </w:tcBorders>
            <w:vAlign w:val="center"/>
          </w:tcPr>
          <w:p w14:paraId="3B1156B8">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drawing>
                <wp:inline distT="0" distB="0" distL="0" distR="0">
                  <wp:extent cx="12700" cy="12700"/>
                  <wp:effectExtent l="0" t="0" r="0" b="0"/>
                  <wp:docPr id="1027" name="图片 13"/>
                  <wp:cNvGraphicFramePr/>
                  <a:graphic xmlns:a="http://schemas.openxmlformats.org/drawingml/2006/main">
                    <a:graphicData uri="http://schemas.openxmlformats.org/drawingml/2006/picture">
                      <pic:pic xmlns:pic="http://schemas.openxmlformats.org/drawingml/2006/picture">
                        <pic:nvPicPr>
                          <pic:cNvPr id="1027" name="图片 13"/>
                          <pic:cNvPicPr/>
                        </pic:nvPicPr>
                        <pic:blipFill>
                          <a:blip r:embed="rId6" cstate="print"/>
                          <a:stretch>
                            <a:fillRect/>
                          </a:stretch>
                        </pic:blipFill>
                        <pic:spPr>
                          <a:xfrm>
                            <a:off x="0" y="0"/>
                            <a:ext cx="12700" cy="12700"/>
                          </a:xfrm>
                          <a:prstGeom prst="rect">
                            <a:avLst/>
                          </a:prstGeom>
                          <a:ln>
                            <a:noFill/>
                          </a:ln>
                        </pic:spPr>
                      </pic:pic>
                    </a:graphicData>
                  </a:graphic>
                </wp:inline>
              </w:drawing>
            </w:r>
            <w:r>
              <w:rPr>
                <w:rFonts w:hint="eastAsia" w:ascii="仿宋_GB2312" w:hAnsi="仿宋_GB2312" w:eastAsia="仿宋_GB2312" w:cs="仿宋_GB2312"/>
                <w:b w:val="0"/>
                <w:bCs w:val="0"/>
                <w:snapToGrid/>
                <w:color w:val="auto"/>
                <w:sz w:val="32"/>
                <w:szCs w:val="32"/>
                <w:lang w:eastAsia="zh-CN"/>
              </w:rPr>
              <w:t>学校研究生会主席团成员，学校团委兼职副书记</w:t>
            </w:r>
          </w:p>
        </w:tc>
        <w:tc>
          <w:tcPr>
            <w:tcW w:w="112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3389674">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6分</w:t>
            </w:r>
          </w:p>
        </w:tc>
      </w:tr>
      <w:tr w14:paraId="4600EAF1">
        <w:tblPrEx>
          <w:tblCellMar>
            <w:top w:w="0" w:type="dxa"/>
            <w:left w:w="108" w:type="dxa"/>
            <w:bottom w:w="0" w:type="dxa"/>
            <w:right w:w="108" w:type="dxa"/>
          </w:tblCellMar>
        </w:tblPrEx>
        <w:trPr>
          <w:jc w:val="center"/>
        </w:trPr>
        <w:tc>
          <w:tcPr>
            <w:tcW w:w="7592" w:type="dxa"/>
            <w:tcBorders>
              <w:top w:val="single" w:color="auto" w:sz="4" w:space="0"/>
              <w:left w:val="single" w:color="auto" w:sz="4" w:space="0"/>
              <w:bottom w:val="single" w:color="auto" w:sz="4" w:space="0"/>
              <w:right w:val="single" w:color="auto" w:sz="4" w:space="0"/>
            </w:tcBorders>
            <w:vAlign w:val="center"/>
          </w:tcPr>
          <w:p w14:paraId="48A314CC">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学院研究生会主席团成员;学院学生党支部副书记；学校团委、研究生会各部门负责人</w:t>
            </w:r>
          </w:p>
        </w:tc>
        <w:tc>
          <w:tcPr>
            <w:tcW w:w="112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361B246">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4分</w:t>
            </w:r>
          </w:p>
        </w:tc>
      </w:tr>
      <w:tr w14:paraId="6E39CD85">
        <w:tblPrEx>
          <w:tblCellMar>
            <w:top w:w="0" w:type="dxa"/>
            <w:left w:w="108" w:type="dxa"/>
            <w:bottom w:w="0" w:type="dxa"/>
            <w:right w:w="108" w:type="dxa"/>
          </w:tblCellMar>
        </w:tblPrEx>
        <w:trPr>
          <w:jc w:val="center"/>
        </w:trPr>
        <w:tc>
          <w:tcPr>
            <w:tcW w:w="7592" w:type="dxa"/>
            <w:tcBorders>
              <w:top w:val="single" w:color="auto" w:sz="4" w:space="0"/>
              <w:left w:val="single" w:color="auto" w:sz="4" w:space="0"/>
              <w:bottom w:val="single" w:color="auto" w:sz="4" w:space="0"/>
              <w:right w:val="single" w:color="auto" w:sz="4" w:space="0"/>
            </w:tcBorders>
            <w:vAlign w:val="center"/>
          </w:tcPr>
          <w:p w14:paraId="2C41EC47">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学院研究生会各部门负责人;各班班长、团支书；学院学生党支部委员</w:t>
            </w:r>
          </w:p>
        </w:tc>
        <w:tc>
          <w:tcPr>
            <w:tcW w:w="112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81239A1">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2分</w:t>
            </w:r>
          </w:p>
        </w:tc>
      </w:tr>
      <w:tr w14:paraId="0E353D9C">
        <w:tblPrEx>
          <w:tblCellMar>
            <w:top w:w="0" w:type="dxa"/>
            <w:left w:w="108" w:type="dxa"/>
            <w:bottom w:w="0" w:type="dxa"/>
            <w:right w:w="108" w:type="dxa"/>
          </w:tblCellMar>
        </w:tblPrEx>
        <w:trPr>
          <w:jc w:val="center"/>
        </w:trPr>
        <w:tc>
          <w:tcPr>
            <w:tcW w:w="7592" w:type="dxa"/>
            <w:tcBorders>
              <w:top w:val="single" w:color="auto" w:sz="4" w:space="0"/>
              <w:left w:val="single" w:color="auto" w:sz="4" w:space="0"/>
              <w:bottom w:val="single" w:color="auto" w:sz="4" w:space="0"/>
              <w:right w:val="single" w:color="auto" w:sz="4" w:space="0"/>
            </w:tcBorders>
            <w:vAlign w:val="center"/>
          </w:tcPr>
          <w:p w14:paraId="3A8E6738">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 xml:space="preserve">学校研究生会各部门工作人员（非负责人）;学院研究生会各部门工作人员（非负责人）；各班其他班委 </w:t>
            </w:r>
          </w:p>
        </w:tc>
        <w:tc>
          <w:tcPr>
            <w:tcW w:w="112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41AAB96">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1分</w:t>
            </w:r>
          </w:p>
        </w:tc>
      </w:tr>
    </w:tbl>
    <w:p w14:paraId="6F70071B">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p>
    <w:p w14:paraId="2B895247">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说明：</w:t>
      </w:r>
    </w:p>
    <w:p w14:paraId="4E264802">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（1）学生工作主要指在校担任的面向学</w:t>
      </w:r>
      <w:r>
        <w:rPr>
          <w:rFonts w:hint="eastAsia" w:ascii="仿宋_GB2312" w:hAnsi="仿宋_GB2312" w:eastAsia="仿宋_GB2312" w:cs="仿宋_GB2312"/>
          <w:b w:val="0"/>
          <w:bCs w:val="0"/>
          <w:snapToGrid/>
          <w:color w:val="auto"/>
          <w:sz w:val="32"/>
          <w:szCs w:val="32"/>
          <w:highlight w:val="none"/>
          <w:lang w:eastAsia="zh-CN"/>
        </w:rPr>
        <w:t>生的无报酬工作,在</w:t>
      </w:r>
      <w:r>
        <w:rPr>
          <w:rFonts w:hint="eastAsia" w:ascii="仿宋_GB2312" w:hAnsi="仿宋_GB2312" w:eastAsia="仿宋_GB2312" w:cs="仿宋_GB2312"/>
          <w:b w:val="0"/>
          <w:bCs w:val="0"/>
          <w:snapToGrid/>
          <w:color w:val="auto"/>
          <w:sz w:val="32"/>
          <w:szCs w:val="32"/>
          <w:lang w:eastAsia="zh-CN"/>
        </w:rPr>
        <w:t>社会上兼职不算在内。</w:t>
      </w:r>
    </w:p>
    <w:p w14:paraId="2DA542E1">
      <w:pPr>
        <w:keepNext w:val="0"/>
        <w:keepLines w:val="0"/>
        <w:pageBreakBefore w:val="0"/>
        <w:numPr>
          <w:ilvl w:val="0"/>
          <w:numId w:val="3"/>
        </w:numPr>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lang w:eastAsia="zh-CN"/>
        </w:rPr>
        <w:t>参评年度内担任学生骨干需半年及以上，通过所在学生组织的述职考核且考核结果为“合格”及以上者，方可加分。工作表现经所在学生组织认定“不合格”的，不予加分。未能正常履职、工作态度消极或因个人工作失误产生差错等</w:t>
      </w:r>
      <w:r>
        <w:rPr>
          <w:rFonts w:hint="eastAsia" w:ascii="仿宋_GB2312" w:hAnsi="仿宋_GB2312" w:eastAsia="仿宋_GB2312" w:cs="仿宋_GB2312"/>
          <w:b w:val="0"/>
          <w:bCs w:val="0"/>
          <w:snapToGrid/>
          <w:color w:val="auto"/>
          <w:sz w:val="32"/>
          <w:szCs w:val="32"/>
          <w:highlight w:val="none"/>
          <w:lang w:eastAsia="zh-CN"/>
        </w:rPr>
        <w:t>根据学院党政办公室（含学工办）意见予以核减任职分数直至不加分。</w:t>
      </w:r>
    </w:p>
    <w:p w14:paraId="0F828C84">
      <w:pPr>
        <w:keepNext w:val="0"/>
        <w:keepLines w:val="0"/>
        <w:pageBreakBefore w:val="0"/>
        <w:numPr>
          <w:ilvl w:val="0"/>
          <w:numId w:val="3"/>
        </w:numPr>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highlight w:val="none"/>
          <w:lang w:eastAsia="zh-CN"/>
        </w:rPr>
        <w:t>同一人担任多项职务者，最多计入2项加分</w:t>
      </w:r>
      <w:r>
        <w:rPr>
          <w:rFonts w:hint="eastAsia" w:ascii="仿宋_GB2312" w:hAnsi="仿宋_GB2312" w:eastAsia="仿宋_GB2312" w:cs="仿宋_GB2312"/>
          <w:b w:val="0"/>
          <w:bCs w:val="0"/>
          <w:snapToGrid/>
          <w:color w:val="auto"/>
          <w:sz w:val="32"/>
          <w:szCs w:val="32"/>
          <w:highlight w:val="none"/>
          <w:lang w:val="en-US" w:eastAsia="zh-CN"/>
        </w:rPr>
        <w:t>；</w:t>
      </w:r>
      <w:r>
        <w:rPr>
          <w:rFonts w:hint="eastAsia" w:ascii="仿宋_GB2312" w:hAnsi="仿宋_GB2312" w:eastAsia="仿宋_GB2312" w:cs="仿宋_GB2312"/>
          <w:b w:val="0"/>
          <w:bCs w:val="0"/>
          <w:snapToGrid/>
          <w:color w:val="auto"/>
          <w:sz w:val="32"/>
          <w:szCs w:val="32"/>
          <w:highlight w:val="none"/>
          <w:lang w:eastAsia="zh-CN"/>
        </w:rPr>
        <w:t>在同一组织内兼任多项学生工作者，以最高职级计分。</w:t>
      </w:r>
    </w:p>
    <w:p w14:paraId="1E5567EA">
      <w:pPr>
        <w:keepNext w:val="0"/>
        <w:keepLines w:val="0"/>
        <w:pageBreakBefore w:val="0"/>
        <w:kinsoku/>
        <w:wordWrap/>
        <w:overflowPunct/>
        <w:topLinePunct w:val="0"/>
        <w:bidi w:val="0"/>
        <w:spacing w:line="540" w:lineRule="exact"/>
        <w:ind w:firstLine="320" w:firstLineChars="1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二</w:t>
      </w:r>
      <w:r>
        <w:rPr>
          <w:rFonts w:hint="eastAsia" w:ascii="仿宋_GB2312" w:hAnsi="仿宋_GB2312" w:eastAsia="仿宋_GB2312" w:cs="仿宋_GB2312"/>
          <w:b w:val="0"/>
          <w:bCs w:val="0"/>
          <w:snapToGrid/>
          <w:color w:val="auto"/>
          <w:sz w:val="32"/>
          <w:szCs w:val="32"/>
          <w:lang w:eastAsia="zh-CN"/>
        </w:rPr>
        <w:t xml:space="preserve">）评优荣誉加分 </w:t>
      </w:r>
    </w:p>
    <w:tbl>
      <w:tblPr>
        <w:tblStyle w:val="8"/>
        <w:tblpPr w:leftFromText="180" w:rightFromText="180" w:vertAnchor="text" w:horzAnchor="page" w:tblpX="1859" w:tblpY="526"/>
        <w:tblOverlap w:val="never"/>
        <w:tblW w:w="8886" w:type="dxa"/>
        <w:tblInd w:w="0" w:type="dxa"/>
        <w:tblLayout w:type="fixed"/>
        <w:tblCellMar>
          <w:top w:w="0" w:type="dxa"/>
          <w:left w:w="108" w:type="dxa"/>
          <w:bottom w:w="0" w:type="dxa"/>
          <w:right w:w="108" w:type="dxa"/>
        </w:tblCellMar>
      </w:tblPr>
      <w:tblGrid>
        <w:gridCol w:w="3073"/>
        <w:gridCol w:w="1178"/>
        <w:gridCol w:w="975"/>
        <w:gridCol w:w="1170"/>
        <w:gridCol w:w="1245"/>
        <w:gridCol w:w="1245"/>
      </w:tblGrid>
      <w:tr w14:paraId="0363E684">
        <w:tblPrEx>
          <w:tblCellMar>
            <w:top w:w="0" w:type="dxa"/>
            <w:left w:w="108" w:type="dxa"/>
            <w:bottom w:w="0" w:type="dxa"/>
            <w:right w:w="108" w:type="dxa"/>
          </w:tblCellMar>
        </w:tblPrEx>
        <w:tc>
          <w:tcPr>
            <w:tcW w:w="307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D804C2E">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表彰级别</w:t>
            </w:r>
          </w:p>
        </w:tc>
        <w:tc>
          <w:tcPr>
            <w:tcW w:w="1178"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DF76830">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国家级</w:t>
            </w:r>
          </w:p>
        </w:tc>
        <w:tc>
          <w:tcPr>
            <w:tcW w:w="97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764CD5C">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省级</w:t>
            </w:r>
          </w:p>
        </w:tc>
        <w:tc>
          <w:tcPr>
            <w:tcW w:w="117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12706AE">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市级</w:t>
            </w:r>
          </w:p>
        </w:tc>
        <w:tc>
          <w:tcPr>
            <w:tcW w:w="124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1382D42">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校级</w:t>
            </w:r>
          </w:p>
        </w:tc>
        <w:tc>
          <w:tcPr>
            <w:tcW w:w="124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32D13F8">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院级</w:t>
            </w:r>
          </w:p>
        </w:tc>
      </w:tr>
      <w:tr w14:paraId="6885598C">
        <w:tblPrEx>
          <w:tblCellMar>
            <w:top w:w="0" w:type="dxa"/>
            <w:left w:w="108" w:type="dxa"/>
            <w:bottom w:w="0" w:type="dxa"/>
            <w:right w:w="108" w:type="dxa"/>
          </w:tblCellMar>
        </w:tblPrEx>
        <w:tc>
          <w:tcPr>
            <w:tcW w:w="307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A8F0C21">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drawing>
                <wp:inline distT="0" distB="0" distL="0" distR="0">
                  <wp:extent cx="12700" cy="12700"/>
                  <wp:effectExtent l="0" t="0" r="0" b="0"/>
                  <wp:docPr id="5" name="图片 77"/>
                  <wp:cNvGraphicFramePr/>
                  <a:graphic xmlns:a="http://schemas.openxmlformats.org/drawingml/2006/main">
                    <a:graphicData uri="http://schemas.openxmlformats.org/drawingml/2006/picture">
                      <pic:pic xmlns:pic="http://schemas.openxmlformats.org/drawingml/2006/picture">
                        <pic:nvPicPr>
                          <pic:cNvPr id="5" name="图片 77"/>
                          <pic:cNvPicPr/>
                        </pic:nvPicPr>
                        <pic:blipFill>
                          <a:blip r:embed="rId6" cstate="print"/>
                          <a:stretch>
                            <a:fillRect/>
                          </a:stretch>
                        </pic:blipFill>
                        <pic:spPr>
                          <a:xfrm>
                            <a:off x="0" y="0"/>
                            <a:ext cx="12700" cy="12700"/>
                          </a:xfrm>
                          <a:prstGeom prst="rect">
                            <a:avLst/>
                          </a:prstGeom>
                          <a:ln>
                            <a:noFill/>
                          </a:ln>
                        </pic:spPr>
                      </pic:pic>
                    </a:graphicData>
                  </a:graphic>
                </wp:inline>
              </w:drawing>
            </w:r>
            <w:r>
              <w:rPr>
                <w:rFonts w:hint="eastAsia" w:ascii="仿宋_GB2312" w:hAnsi="仿宋_GB2312" w:eastAsia="仿宋_GB2312" w:cs="仿宋_GB2312"/>
                <w:b w:val="0"/>
                <w:bCs w:val="0"/>
                <w:snapToGrid/>
                <w:color w:val="auto"/>
                <w:sz w:val="32"/>
                <w:szCs w:val="32"/>
                <w:lang w:eastAsia="zh-CN"/>
              </w:rPr>
              <w:t>先进个人</w:t>
            </w:r>
          </w:p>
        </w:tc>
        <w:tc>
          <w:tcPr>
            <w:tcW w:w="1178"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CD10DFA">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highlight w:val="none"/>
                <w:lang w:eastAsia="zh-CN"/>
              </w:rPr>
              <w:t>100</w:t>
            </w:r>
          </w:p>
        </w:tc>
        <w:tc>
          <w:tcPr>
            <w:tcW w:w="97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B120E4F">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highlight w:val="none"/>
                <w:lang w:eastAsia="zh-CN"/>
              </w:rPr>
              <w:t>20</w:t>
            </w:r>
          </w:p>
        </w:tc>
        <w:tc>
          <w:tcPr>
            <w:tcW w:w="117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EBBA20C">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highlight w:val="none"/>
                <w:lang w:val="en-US" w:eastAsia="zh-CN"/>
              </w:rPr>
              <w:t>5</w:t>
            </w:r>
          </w:p>
        </w:tc>
        <w:tc>
          <w:tcPr>
            <w:tcW w:w="124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F448CCA">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highlight w:val="none"/>
                <w:lang w:eastAsia="zh-CN"/>
              </w:rPr>
              <w:t>2</w:t>
            </w:r>
          </w:p>
        </w:tc>
        <w:tc>
          <w:tcPr>
            <w:tcW w:w="124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3D9E079">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highlight w:val="none"/>
                <w:lang w:eastAsia="zh-CN"/>
              </w:rPr>
              <w:t>1</w:t>
            </w:r>
          </w:p>
        </w:tc>
      </w:tr>
      <w:tr w14:paraId="5A5E6572">
        <w:tblPrEx>
          <w:tblCellMar>
            <w:top w:w="0" w:type="dxa"/>
            <w:left w:w="108" w:type="dxa"/>
            <w:bottom w:w="0" w:type="dxa"/>
            <w:right w:w="108" w:type="dxa"/>
          </w:tblCellMar>
        </w:tblPrEx>
        <w:tc>
          <w:tcPr>
            <w:tcW w:w="307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EC936A9">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drawing>
                <wp:inline distT="0" distB="0" distL="0" distR="0">
                  <wp:extent cx="12700" cy="12700"/>
                  <wp:effectExtent l="0" t="0" r="0" b="0"/>
                  <wp:docPr id="6" name="图片 78"/>
                  <wp:cNvGraphicFramePr/>
                  <a:graphic xmlns:a="http://schemas.openxmlformats.org/drawingml/2006/main">
                    <a:graphicData uri="http://schemas.openxmlformats.org/drawingml/2006/picture">
                      <pic:pic xmlns:pic="http://schemas.openxmlformats.org/drawingml/2006/picture">
                        <pic:nvPicPr>
                          <pic:cNvPr id="6" name="图片 78"/>
                          <pic:cNvPicPr/>
                        </pic:nvPicPr>
                        <pic:blipFill>
                          <a:blip r:embed="rId6" cstate="print"/>
                          <a:stretch>
                            <a:fillRect/>
                          </a:stretch>
                        </pic:blipFill>
                        <pic:spPr>
                          <a:xfrm>
                            <a:off x="0" y="0"/>
                            <a:ext cx="12700" cy="12700"/>
                          </a:xfrm>
                          <a:prstGeom prst="rect">
                            <a:avLst/>
                          </a:prstGeom>
                          <a:ln>
                            <a:noFill/>
                          </a:ln>
                        </pic:spPr>
                      </pic:pic>
                    </a:graphicData>
                  </a:graphic>
                </wp:inline>
              </w:drawing>
            </w:r>
            <w:r>
              <w:rPr>
                <w:rFonts w:hint="eastAsia" w:ascii="仿宋_GB2312" w:hAnsi="仿宋_GB2312" w:eastAsia="仿宋_GB2312" w:cs="仿宋_GB2312"/>
                <w:b w:val="0"/>
                <w:bCs w:val="0"/>
                <w:snapToGrid/>
                <w:color w:val="auto"/>
                <w:sz w:val="32"/>
                <w:szCs w:val="32"/>
                <w:lang w:eastAsia="zh-CN"/>
              </w:rPr>
              <w:t>先进集体主要负责人</w:t>
            </w:r>
          </w:p>
        </w:tc>
        <w:tc>
          <w:tcPr>
            <w:tcW w:w="1178"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842D353">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highlight w:val="none"/>
                <w:lang w:eastAsia="zh-CN"/>
              </w:rPr>
              <w:t>50</w:t>
            </w:r>
          </w:p>
        </w:tc>
        <w:tc>
          <w:tcPr>
            <w:tcW w:w="97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6B20080">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highlight w:val="none"/>
                <w:lang w:eastAsia="zh-CN"/>
              </w:rPr>
              <w:t>10</w:t>
            </w:r>
          </w:p>
        </w:tc>
        <w:tc>
          <w:tcPr>
            <w:tcW w:w="117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5CA172C">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highlight w:val="none"/>
                <w:lang w:eastAsia="zh-CN"/>
              </w:rPr>
              <w:t>2</w:t>
            </w:r>
          </w:p>
        </w:tc>
        <w:tc>
          <w:tcPr>
            <w:tcW w:w="124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4E7E9AC">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highlight w:val="none"/>
                <w:lang w:eastAsia="zh-CN"/>
              </w:rPr>
              <w:t>1</w:t>
            </w:r>
          </w:p>
        </w:tc>
        <w:tc>
          <w:tcPr>
            <w:tcW w:w="124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FFC3A89">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highlight w:val="none"/>
                <w:lang w:eastAsia="zh-CN"/>
              </w:rPr>
              <w:t>0.6</w:t>
            </w:r>
          </w:p>
        </w:tc>
      </w:tr>
      <w:tr w14:paraId="0E42D772">
        <w:tblPrEx>
          <w:tblCellMar>
            <w:top w:w="0" w:type="dxa"/>
            <w:left w:w="108" w:type="dxa"/>
            <w:bottom w:w="0" w:type="dxa"/>
            <w:right w:w="108" w:type="dxa"/>
          </w:tblCellMar>
        </w:tblPrEx>
        <w:tc>
          <w:tcPr>
            <w:tcW w:w="307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4306624">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先进集体</w:t>
            </w:r>
            <w:r>
              <w:rPr>
                <w:rFonts w:hint="eastAsia" w:ascii="仿宋_GB2312" w:hAnsi="仿宋_GB2312" w:eastAsia="仿宋_GB2312" w:cs="仿宋_GB2312"/>
                <w:b w:val="0"/>
                <w:bCs w:val="0"/>
                <w:snapToGrid/>
                <w:color w:val="auto"/>
                <w:sz w:val="32"/>
                <w:szCs w:val="32"/>
                <w:lang w:val="en-US" w:eastAsia="zh-CN"/>
              </w:rPr>
              <w:t>一般</w:t>
            </w:r>
            <w:r>
              <w:rPr>
                <w:rFonts w:hint="eastAsia" w:ascii="仿宋_GB2312" w:hAnsi="仿宋_GB2312" w:eastAsia="仿宋_GB2312" w:cs="仿宋_GB2312"/>
                <w:b w:val="0"/>
                <w:bCs w:val="0"/>
                <w:snapToGrid/>
                <w:color w:val="auto"/>
                <w:sz w:val="32"/>
                <w:szCs w:val="32"/>
                <w:lang w:eastAsia="zh-CN"/>
              </w:rPr>
              <w:t>负责人</w:t>
            </w:r>
          </w:p>
        </w:tc>
        <w:tc>
          <w:tcPr>
            <w:tcW w:w="1178"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8532603">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highlight w:val="none"/>
                <w:lang w:val="en-US" w:eastAsia="zh-CN"/>
              </w:rPr>
            </w:pPr>
            <w:r>
              <w:rPr>
                <w:rFonts w:hint="eastAsia" w:ascii="仿宋_GB2312" w:hAnsi="仿宋_GB2312" w:eastAsia="仿宋_GB2312" w:cs="仿宋_GB2312"/>
                <w:b w:val="0"/>
                <w:bCs w:val="0"/>
                <w:snapToGrid/>
                <w:color w:val="auto"/>
                <w:sz w:val="32"/>
                <w:szCs w:val="32"/>
                <w:highlight w:val="none"/>
                <w:lang w:val="en-US" w:eastAsia="zh-CN"/>
              </w:rPr>
              <w:t>30</w:t>
            </w:r>
          </w:p>
        </w:tc>
        <w:tc>
          <w:tcPr>
            <w:tcW w:w="97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06E527A">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highlight w:val="none"/>
                <w:lang w:val="en-US" w:eastAsia="zh-CN"/>
              </w:rPr>
            </w:pPr>
            <w:r>
              <w:rPr>
                <w:rFonts w:hint="eastAsia" w:ascii="仿宋_GB2312" w:hAnsi="仿宋_GB2312" w:eastAsia="仿宋_GB2312" w:cs="仿宋_GB2312"/>
                <w:b w:val="0"/>
                <w:bCs w:val="0"/>
                <w:snapToGrid/>
                <w:color w:val="auto"/>
                <w:sz w:val="32"/>
                <w:szCs w:val="32"/>
                <w:highlight w:val="none"/>
                <w:lang w:val="en-US" w:eastAsia="zh-CN"/>
              </w:rPr>
              <w:t>7</w:t>
            </w:r>
          </w:p>
        </w:tc>
        <w:tc>
          <w:tcPr>
            <w:tcW w:w="117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168A55F">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highlight w:val="none"/>
                <w:lang w:val="en-US" w:eastAsia="zh-CN"/>
              </w:rPr>
            </w:pPr>
            <w:r>
              <w:rPr>
                <w:rFonts w:hint="eastAsia" w:ascii="仿宋_GB2312" w:hAnsi="仿宋_GB2312" w:eastAsia="仿宋_GB2312" w:cs="仿宋_GB2312"/>
                <w:b w:val="0"/>
                <w:bCs w:val="0"/>
                <w:snapToGrid/>
                <w:color w:val="auto"/>
                <w:sz w:val="32"/>
                <w:szCs w:val="32"/>
                <w:highlight w:val="none"/>
                <w:lang w:val="en-US" w:eastAsia="zh-CN"/>
              </w:rPr>
              <w:t>1.5</w:t>
            </w:r>
          </w:p>
        </w:tc>
        <w:tc>
          <w:tcPr>
            <w:tcW w:w="124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B8B1844">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highlight w:val="none"/>
                <w:lang w:val="en-US" w:eastAsia="zh-CN"/>
              </w:rPr>
            </w:pPr>
            <w:r>
              <w:rPr>
                <w:rFonts w:hint="eastAsia" w:ascii="仿宋_GB2312" w:hAnsi="仿宋_GB2312" w:eastAsia="仿宋_GB2312" w:cs="仿宋_GB2312"/>
                <w:b w:val="0"/>
                <w:bCs w:val="0"/>
                <w:snapToGrid/>
                <w:color w:val="auto"/>
                <w:sz w:val="32"/>
                <w:szCs w:val="32"/>
                <w:highlight w:val="none"/>
                <w:lang w:val="en-US" w:eastAsia="zh-CN"/>
              </w:rPr>
              <w:t>0.8</w:t>
            </w:r>
          </w:p>
        </w:tc>
        <w:tc>
          <w:tcPr>
            <w:tcW w:w="124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02B778F">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highlight w:val="none"/>
                <w:lang w:val="en-US" w:eastAsia="zh-CN"/>
              </w:rPr>
            </w:pPr>
            <w:r>
              <w:rPr>
                <w:rFonts w:hint="eastAsia" w:ascii="仿宋_GB2312" w:hAnsi="仿宋_GB2312" w:eastAsia="仿宋_GB2312" w:cs="仿宋_GB2312"/>
                <w:b w:val="0"/>
                <w:bCs w:val="0"/>
                <w:snapToGrid/>
                <w:color w:val="auto"/>
                <w:sz w:val="32"/>
                <w:szCs w:val="32"/>
                <w:highlight w:val="none"/>
                <w:lang w:val="en-US" w:eastAsia="zh-CN"/>
              </w:rPr>
              <w:t>0.4</w:t>
            </w:r>
          </w:p>
        </w:tc>
      </w:tr>
      <w:tr w14:paraId="48CA22BC">
        <w:tblPrEx>
          <w:tblCellMar>
            <w:top w:w="0" w:type="dxa"/>
            <w:left w:w="108" w:type="dxa"/>
            <w:bottom w:w="0" w:type="dxa"/>
            <w:right w:w="108" w:type="dxa"/>
          </w:tblCellMar>
        </w:tblPrEx>
        <w:trPr>
          <w:trHeight w:val="516" w:hRule="atLeast"/>
        </w:trPr>
        <w:tc>
          <w:tcPr>
            <w:tcW w:w="307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266B1C9">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先进集体成员</w:t>
            </w:r>
          </w:p>
        </w:tc>
        <w:tc>
          <w:tcPr>
            <w:tcW w:w="1178"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8BF5105">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highlight w:val="none"/>
                <w:lang w:eastAsia="zh-CN"/>
              </w:rPr>
              <w:t>10</w:t>
            </w:r>
          </w:p>
        </w:tc>
        <w:tc>
          <w:tcPr>
            <w:tcW w:w="97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E942754">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highlight w:val="none"/>
                <w:lang w:eastAsia="zh-CN"/>
              </w:rPr>
              <w:t>5</w:t>
            </w:r>
          </w:p>
        </w:tc>
        <w:tc>
          <w:tcPr>
            <w:tcW w:w="117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4B57451">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highlight w:val="none"/>
                <w:lang w:eastAsia="zh-CN"/>
              </w:rPr>
              <w:t>1</w:t>
            </w:r>
          </w:p>
        </w:tc>
        <w:tc>
          <w:tcPr>
            <w:tcW w:w="124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03C271D">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highlight w:val="none"/>
                <w:lang w:eastAsia="zh-CN"/>
              </w:rPr>
              <w:t>0.6</w:t>
            </w:r>
          </w:p>
        </w:tc>
        <w:tc>
          <w:tcPr>
            <w:tcW w:w="124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EB5354A">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highlight w:val="none"/>
                <w:lang w:eastAsia="zh-CN"/>
              </w:rPr>
              <w:t>0.3</w:t>
            </w:r>
          </w:p>
        </w:tc>
      </w:tr>
    </w:tbl>
    <w:p w14:paraId="524F71FF">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 xml:space="preserve">说明: </w:t>
      </w:r>
    </w:p>
    <w:p w14:paraId="4CD513A9">
      <w:pPr>
        <w:keepNext w:val="0"/>
        <w:keepLines w:val="0"/>
        <w:pageBreakBefore w:val="0"/>
        <w:numPr>
          <w:ilvl w:val="0"/>
          <w:numId w:val="4"/>
        </w:numPr>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先进个人包括优秀共产党员、优秀共青团员、优秀共青团干部、优秀学生干部、优秀志愿者、星级志愿者等官方组织评选的个人荣誉。其中优秀志愿者以各级政府、共青团组织、青年志愿者协会（需为官方注册的青协组织）等官方组织认可的为准。星级志愿者以学校或者广东省正式文件为准。</w:t>
      </w:r>
    </w:p>
    <w:p w14:paraId="256013F0">
      <w:pPr>
        <w:keepNext w:val="0"/>
        <w:keepLines w:val="0"/>
        <w:pageBreakBefore w:val="0"/>
        <w:numPr>
          <w:ilvl w:val="0"/>
          <w:numId w:val="4"/>
        </w:numPr>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先进集体包括：优秀党支部、红旗团支部、最佳党日活动获奖支部等，同类项目不同级别只加最高分。经集体2/3及以上成员同意，对集体中表现不合格者，不予加分。</w:t>
      </w:r>
    </w:p>
    <w:p w14:paraId="71E993FC">
      <w:pPr>
        <w:keepNext w:val="0"/>
        <w:keepLines w:val="0"/>
        <w:pageBreakBefore w:val="0"/>
        <w:numPr>
          <w:ilvl w:val="0"/>
          <w:numId w:val="4"/>
        </w:numPr>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以上荣誉中校级优秀共产党员、优秀党支部和相应的先进集体成员、大学生年度人物按同级别乘以1.5</w:t>
      </w:r>
      <w:r>
        <w:rPr>
          <w:rFonts w:hint="eastAsia" w:ascii="仿宋_GB2312" w:hAnsi="仿宋_GB2312" w:eastAsia="仿宋_GB2312" w:cs="仿宋_GB2312"/>
          <w:b w:val="0"/>
          <w:bCs w:val="0"/>
          <w:snapToGrid/>
          <w:color w:val="auto"/>
          <w:sz w:val="32"/>
          <w:szCs w:val="32"/>
          <w:lang w:val="en-US" w:eastAsia="zh-CN"/>
        </w:rPr>
        <w:t>的系数</w:t>
      </w:r>
      <w:r>
        <w:rPr>
          <w:rFonts w:hint="eastAsia" w:ascii="仿宋_GB2312" w:hAnsi="仿宋_GB2312" w:eastAsia="仿宋_GB2312" w:cs="仿宋_GB2312"/>
          <w:b w:val="0"/>
          <w:bCs w:val="0"/>
          <w:snapToGrid/>
          <w:color w:val="auto"/>
          <w:sz w:val="32"/>
          <w:szCs w:val="32"/>
          <w:lang w:eastAsia="zh-CN"/>
        </w:rPr>
        <w:t>进行加分，其他参照以上表格；</w:t>
      </w:r>
    </w:p>
    <w:p w14:paraId="28DF146C">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highlight w:val="none"/>
          <w:lang w:eastAsia="zh-CN"/>
        </w:rPr>
      </w:pPr>
      <w:r>
        <w:rPr>
          <w:rFonts w:hint="eastAsia" w:ascii="仿宋_GB2312" w:hAnsi="仿宋_GB2312" w:eastAsia="仿宋_GB2312" w:cs="仿宋_GB2312"/>
          <w:b w:val="0"/>
          <w:bCs w:val="0"/>
          <w:snapToGrid/>
          <w:color w:val="auto"/>
          <w:sz w:val="32"/>
          <w:szCs w:val="32"/>
          <w:lang w:eastAsia="zh-CN"/>
        </w:rPr>
        <w:t>（4）先进集体主要负责人指该集体主要负责人或活动的主要组织者和策划者（其中班级一般为班长和团支书，研究生会一般为主席团成员；党支部一般为支部书记或副书记）；</w:t>
      </w:r>
      <w:r>
        <w:rPr>
          <w:rFonts w:hint="eastAsia" w:ascii="仿宋_GB2312" w:hAnsi="仿宋_GB2312" w:eastAsia="仿宋_GB2312" w:cs="仿宋_GB2312"/>
          <w:b w:val="0"/>
          <w:bCs w:val="0"/>
          <w:snapToGrid/>
          <w:color w:val="auto"/>
          <w:sz w:val="32"/>
          <w:szCs w:val="32"/>
          <w:highlight w:val="none"/>
          <w:lang w:eastAsia="zh-CN"/>
        </w:rPr>
        <w:t>一般负责人指该集体（或活动）的协调者；</w:t>
      </w:r>
      <w:r>
        <w:rPr>
          <w:rFonts w:hint="eastAsia" w:ascii="仿宋_GB2312" w:hAnsi="仿宋_GB2312" w:eastAsia="仿宋_GB2312" w:cs="仿宋_GB2312"/>
          <w:b w:val="0"/>
          <w:bCs w:val="0"/>
          <w:snapToGrid/>
          <w:color w:val="auto"/>
          <w:sz w:val="32"/>
          <w:szCs w:val="32"/>
          <w:lang w:eastAsia="zh-CN"/>
        </w:rPr>
        <w:t>成员指该集体或活动的参与者；如有其他多人负责的情况，可由该集体按总量上限协调进行合理分配。</w:t>
      </w:r>
    </w:p>
    <w:p w14:paraId="111F400A">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（5）因参与到国家、省市重大活动志愿服务或开展专项工作所获奖励、表彰,加分情况结合学校文件由学院研究生奖助金评审委员会予以讨论认定。</w:t>
      </w:r>
    </w:p>
    <w:p w14:paraId="01E34C98">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（6）凡被评为同一类型各级优秀学生干部、团干部和个人</w:t>
      </w:r>
      <w:r>
        <w:rPr>
          <w:rFonts w:hint="eastAsia" w:ascii="仿宋_GB2312" w:hAnsi="仿宋_GB2312" w:eastAsia="仿宋_GB2312" w:cs="仿宋_GB2312"/>
          <w:b w:val="0"/>
          <w:bCs w:val="0"/>
          <w:snapToGrid/>
          <w:color w:val="auto"/>
          <w:sz w:val="32"/>
          <w:szCs w:val="32"/>
          <w:lang w:val="en-US" w:eastAsia="zh-CN"/>
        </w:rPr>
        <w:t>等</w:t>
      </w:r>
      <w:r>
        <w:rPr>
          <w:rFonts w:hint="eastAsia" w:ascii="仿宋_GB2312" w:hAnsi="仿宋_GB2312" w:eastAsia="仿宋_GB2312" w:cs="仿宋_GB2312"/>
          <w:b w:val="0"/>
          <w:bCs w:val="0"/>
          <w:snapToGrid/>
          <w:color w:val="auto"/>
          <w:sz w:val="32"/>
          <w:szCs w:val="32"/>
          <w:lang w:eastAsia="zh-CN"/>
        </w:rPr>
        <w:t>，分数不累加，只计最高分。</w:t>
      </w:r>
    </w:p>
    <w:p w14:paraId="4CCB11C4">
      <w:pPr>
        <w:keepNext w:val="0"/>
        <w:keepLines w:val="0"/>
        <w:pageBreakBefore w:val="0"/>
        <w:kinsoku/>
        <w:wordWrap/>
        <w:overflowPunct/>
        <w:topLinePunct w:val="0"/>
        <w:bidi w:val="0"/>
        <w:spacing w:line="540" w:lineRule="exact"/>
        <w:ind w:left="420" w:left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bCs/>
          <w:snapToGrid/>
          <w:color w:val="auto"/>
          <w:sz w:val="32"/>
          <w:szCs w:val="32"/>
          <w:lang w:val="en-US" w:eastAsia="zh-CN"/>
        </w:rPr>
        <w:t>第十三条</w:t>
      </w:r>
      <w:r>
        <w:rPr>
          <w:rFonts w:hint="eastAsia" w:ascii="仿宋_GB2312" w:hAnsi="仿宋_GB2312" w:eastAsia="仿宋_GB2312" w:cs="仿宋_GB2312"/>
          <w:b w:val="0"/>
          <w:bCs w:val="0"/>
          <w:snapToGrid/>
          <w:color w:val="auto"/>
          <w:sz w:val="32"/>
          <w:szCs w:val="32"/>
          <w:lang w:val="en-US" w:eastAsia="zh-CN"/>
        </w:rPr>
        <w:t xml:space="preserve"> </w:t>
      </w:r>
      <w:r>
        <w:rPr>
          <w:rFonts w:hint="eastAsia" w:ascii="仿宋_GB2312" w:hAnsi="仿宋_GB2312" w:eastAsia="仿宋_GB2312" w:cs="仿宋_GB2312"/>
          <w:b w:val="0"/>
          <w:bCs w:val="0"/>
          <w:snapToGrid/>
          <w:color w:val="auto"/>
          <w:sz w:val="32"/>
          <w:szCs w:val="32"/>
          <w:lang w:eastAsia="zh-CN"/>
        </w:rPr>
        <w:t>文艺、体育类</w:t>
      </w:r>
    </w:p>
    <w:p w14:paraId="25755DE0">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一</w:t>
      </w:r>
      <w:r>
        <w:rPr>
          <w:rFonts w:hint="eastAsia" w:ascii="仿宋_GB2312" w:hAnsi="仿宋_GB2312" w:eastAsia="仿宋_GB2312" w:cs="仿宋_GB2312"/>
          <w:b w:val="0"/>
          <w:bCs w:val="0"/>
          <w:snapToGrid/>
          <w:color w:val="auto"/>
          <w:sz w:val="32"/>
          <w:szCs w:val="32"/>
          <w:lang w:eastAsia="zh-CN"/>
        </w:rPr>
        <w:t>）体育类竞赛加分</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9"/>
        <w:gridCol w:w="1039"/>
        <w:gridCol w:w="1039"/>
        <w:gridCol w:w="1039"/>
        <w:gridCol w:w="1039"/>
        <w:gridCol w:w="1039"/>
        <w:gridCol w:w="1039"/>
        <w:gridCol w:w="1039"/>
        <w:gridCol w:w="1040"/>
      </w:tblGrid>
      <w:tr w14:paraId="6FB6F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9" w:type="dxa"/>
          </w:tcPr>
          <w:p w14:paraId="229F33C4">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名次</w:t>
            </w:r>
          </w:p>
        </w:tc>
        <w:tc>
          <w:tcPr>
            <w:tcW w:w="1039" w:type="dxa"/>
          </w:tcPr>
          <w:p w14:paraId="5091B46D">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一</w:t>
            </w:r>
          </w:p>
        </w:tc>
        <w:tc>
          <w:tcPr>
            <w:tcW w:w="1039" w:type="dxa"/>
          </w:tcPr>
          <w:p w14:paraId="00C3ABB8">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二</w:t>
            </w:r>
          </w:p>
        </w:tc>
        <w:tc>
          <w:tcPr>
            <w:tcW w:w="1039" w:type="dxa"/>
          </w:tcPr>
          <w:p w14:paraId="6D9F5775">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三</w:t>
            </w:r>
          </w:p>
        </w:tc>
        <w:tc>
          <w:tcPr>
            <w:tcW w:w="1039" w:type="dxa"/>
          </w:tcPr>
          <w:p w14:paraId="14EB0464">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四</w:t>
            </w:r>
          </w:p>
        </w:tc>
        <w:tc>
          <w:tcPr>
            <w:tcW w:w="1039" w:type="dxa"/>
          </w:tcPr>
          <w:p w14:paraId="17142A1A">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五</w:t>
            </w:r>
          </w:p>
        </w:tc>
        <w:tc>
          <w:tcPr>
            <w:tcW w:w="1039" w:type="dxa"/>
          </w:tcPr>
          <w:p w14:paraId="7B9FDCA4">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六</w:t>
            </w:r>
          </w:p>
        </w:tc>
        <w:tc>
          <w:tcPr>
            <w:tcW w:w="1039" w:type="dxa"/>
          </w:tcPr>
          <w:p w14:paraId="3EE07E6F">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七</w:t>
            </w:r>
          </w:p>
        </w:tc>
        <w:tc>
          <w:tcPr>
            <w:tcW w:w="1040" w:type="dxa"/>
          </w:tcPr>
          <w:p w14:paraId="455F2FBB">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八</w:t>
            </w:r>
          </w:p>
        </w:tc>
      </w:tr>
      <w:tr w14:paraId="5BFB7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9" w:type="dxa"/>
          </w:tcPr>
          <w:p w14:paraId="5924C0BF">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国家级</w:t>
            </w:r>
          </w:p>
        </w:tc>
        <w:tc>
          <w:tcPr>
            <w:tcW w:w="1039" w:type="dxa"/>
          </w:tcPr>
          <w:p w14:paraId="7203449D">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20</w:t>
            </w:r>
          </w:p>
        </w:tc>
        <w:tc>
          <w:tcPr>
            <w:tcW w:w="1039" w:type="dxa"/>
          </w:tcPr>
          <w:p w14:paraId="026C2417">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15</w:t>
            </w:r>
          </w:p>
        </w:tc>
        <w:tc>
          <w:tcPr>
            <w:tcW w:w="1039" w:type="dxa"/>
          </w:tcPr>
          <w:p w14:paraId="09B12CF2">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12</w:t>
            </w:r>
          </w:p>
        </w:tc>
        <w:tc>
          <w:tcPr>
            <w:tcW w:w="1039" w:type="dxa"/>
          </w:tcPr>
          <w:p w14:paraId="6D16084B">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10</w:t>
            </w:r>
          </w:p>
        </w:tc>
        <w:tc>
          <w:tcPr>
            <w:tcW w:w="1039" w:type="dxa"/>
          </w:tcPr>
          <w:p w14:paraId="014927EA">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8</w:t>
            </w:r>
          </w:p>
        </w:tc>
        <w:tc>
          <w:tcPr>
            <w:tcW w:w="1039" w:type="dxa"/>
          </w:tcPr>
          <w:p w14:paraId="6E8CFE51">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6</w:t>
            </w:r>
          </w:p>
        </w:tc>
        <w:tc>
          <w:tcPr>
            <w:tcW w:w="1039" w:type="dxa"/>
          </w:tcPr>
          <w:p w14:paraId="3205601D">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5</w:t>
            </w:r>
          </w:p>
        </w:tc>
        <w:tc>
          <w:tcPr>
            <w:tcW w:w="1040" w:type="dxa"/>
          </w:tcPr>
          <w:p w14:paraId="13451320">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2</w:t>
            </w:r>
          </w:p>
        </w:tc>
      </w:tr>
      <w:tr w14:paraId="3A2A0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9" w:type="dxa"/>
          </w:tcPr>
          <w:p w14:paraId="5A00FD27">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省级</w:t>
            </w:r>
          </w:p>
        </w:tc>
        <w:tc>
          <w:tcPr>
            <w:tcW w:w="1039" w:type="dxa"/>
          </w:tcPr>
          <w:p w14:paraId="72FCB980">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2</w:t>
            </w:r>
          </w:p>
        </w:tc>
        <w:tc>
          <w:tcPr>
            <w:tcW w:w="1039" w:type="dxa"/>
          </w:tcPr>
          <w:p w14:paraId="646558C3">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1.5</w:t>
            </w:r>
          </w:p>
        </w:tc>
        <w:tc>
          <w:tcPr>
            <w:tcW w:w="1039" w:type="dxa"/>
          </w:tcPr>
          <w:p w14:paraId="1F0B1505">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w:t>
            </w:r>
          </w:p>
        </w:tc>
        <w:tc>
          <w:tcPr>
            <w:tcW w:w="1039" w:type="dxa"/>
          </w:tcPr>
          <w:p w14:paraId="0732350A">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0.8</w:t>
            </w:r>
          </w:p>
        </w:tc>
        <w:tc>
          <w:tcPr>
            <w:tcW w:w="1039" w:type="dxa"/>
          </w:tcPr>
          <w:p w14:paraId="2C297A67">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0.6</w:t>
            </w:r>
          </w:p>
        </w:tc>
        <w:tc>
          <w:tcPr>
            <w:tcW w:w="1039" w:type="dxa"/>
          </w:tcPr>
          <w:p w14:paraId="4E499CFB">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0.4</w:t>
            </w:r>
          </w:p>
        </w:tc>
        <w:tc>
          <w:tcPr>
            <w:tcW w:w="1039" w:type="dxa"/>
          </w:tcPr>
          <w:p w14:paraId="791821AC">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0.2</w:t>
            </w:r>
          </w:p>
        </w:tc>
        <w:tc>
          <w:tcPr>
            <w:tcW w:w="1040" w:type="dxa"/>
          </w:tcPr>
          <w:p w14:paraId="2DD0B12E">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0.1</w:t>
            </w:r>
          </w:p>
        </w:tc>
      </w:tr>
      <w:tr w14:paraId="793B7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9" w:type="dxa"/>
          </w:tcPr>
          <w:p w14:paraId="7996F710">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校级</w:t>
            </w:r>
          </w:p>
        </w:tc>
        <w:tc>
          <w:tcPr>
            <w:tcW w:w="1039" w:type="dxa"/>
          </w:tcPr>
          <w:p w14:paraId="2F912BF5">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w:t>
            </w:r>
          </w:p>
        </w:tc>
        <w:tc>
          <w:tcPr>
            <w:tcW w:w="1039" w:type="dxa"/>
          </w:tcPr>
          <w:p w14:paraId="6F501551">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0.8</w:t>
            </w:r>
          </w:p>
        </w:tc>
        <w:tc>
          <w:tcPr>
            <w:tcW w:w="1039" w:type="dxa"/>
          </w:tcPr>
          <w:p w14:paraId="6E4EB0EB">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0.6</w:t>
            </w:r>
          </w:p>
        </w:tc>
        <w:tc>
          <w:tcPr>
            <w:tcW w:w="1039" w:type="dxa"/>
          </w:tcPr>
          <w:p w14:paraId="5BE6282C">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0.4</w:t>
            </w:r>
          </w:p>
        </w:tc>
        <w:tc>
          <w:tcPr>
            <w:tcW w:w="1039" w:type="dxa"/>
          </w:tcPr>
          <w:p w14:paraId="27A0031E">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0.3</w:t>
            </w:r>
          </w:p>
        </w:tc>
        <w:tc>
          <w:tcPr>
            <w:tcW w:w="1039" w:type="dxa"/>
          </w:tcPr>
          <w:p w14:paraId="40A4554A">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0.2</w:t>
            </w:r>
          </w:p>
        </w:tc>
        <w:tc>
          <w:tcPr>
            <w:tcW w:w="1039" w:type="dxa"/>
          </w:tcPr>
          <w:p w14:paraId="7B68C4FB">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0.1</w:t>
            </w:r>
          </w:p>
        </w:tc>
        <w:tc>
          <w:tcPr>
            <w:tcW w:w="1040" w:type="dxa"/>
          </w:tcPr>
          <w:p w14:paraId="7D59CDDC">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0.05</w:t>
            </w:r>
          </w:p>
        </w:tc>
      </w:tr>
      <w:tr w14:paraId="375B1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9" w:type="dxa"/>
          </w:tcPr>
          <w:p w14:paraId="79DF99D1">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多院系</w:t>
            </w:r>
          </w:p>
        </w:tc>
        <w:tc>
          <w:tcPr>
            <w:tcW w:w="1039" w:type="dxa"/>
          </w:tcPr>
          <w:p w14:paraId="121CD0F4">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0.9</w:t>
            </w:r>
          </w:p>
        </w:tc>
        <w:tc>
          <w:tcPr>
            <w:tcW w:w="1039" w:type="dxa"/>
          </w:tcPr>
          <w:p w14:paraId="7688D503">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0.8</w:t>
            </w:r>
          </w:p>
        </w:tc>
        <w:tc>
          <w:tcPr>
            <w:tcW w:w="1039" w:type="dxa"/>
          </w:tcPr>
          <w:p w14:paraId="7A60D304">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0.6</w:t>
            </w:r>
          </w:p>
        </w:tc>
        <w:tc>
          <w:tcPr>
            <w:tcW w:w="1039" w:type="dxa"/>
          </w:tcPr>
          <w:p w14:paraId="6F8C3544">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0.4</w:t>
            </w:r>
          </w:p>
        </w:tc>
        <w:tc>
          <w:tcPr>
            <w:tcW w:w="1039" w:type="dxa"/>
          </w:tcPr>
          <w:p w14:paraId="70E4526F">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0.2</w:t>
            </w:r>
          </w:p>
        </w:tc>
        <w:tc>
          <w:tcPr>
            <w:tcW w:w="1039" w:type="dxa"/>
          </w:tcPr>
          <w:p w14:paraId="023B5959">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0.1</w:t>
            </w:r>
          </w:p>
        </w:tc>
        <w:tc>
          <w:tcPr>
            <w:tcW w:w="1039" w:type="dxa"/>
          </w:tcPr>
          <w:p w14:paraId="39DF69E6">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0.05</w:t>
            </w:r>
          </w:p>
        </w:tc>
        <w:tc>
          <w:tcPr>
            <w:tcW w:w="1040" w:type="dxa"/>
          </w:tcPr>
          <w:p w14:paraId="4AEE69BC">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p>
        </w:tc>
      </w:tr>
      <w:tr w14:paraId="3B7F8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9" w:type="dxa"/>
          </w:tcPr>
          <w:p w14:paraId="3DC9A3F3">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院级</w:t>
            </w:r>
          </w:p>
        </w:tc>
        <w:tc>
          <w:tcPr>
            <w:tcW w:w="1039" w:type="dxa"/>
          </w:tcPr>
          <w:p w14:paraId="7BA37DBC">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0.8</w:t>
            </w:r>
          </w:p>
        </w:tc>
        <w:tc>
          <w:tcPr>
            <w:tcW w:w="1039" w:type="dxa"/>
          </w:tcPr>
          <w:p w14:paraId="4A1B9B0B">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0.4</w:t>
            </w:r>
          </w:p>
        </w:tc>
        <w:tc>
          <w:tcPr>
            <w:tcW w:w="1039" w:type="dxa"/>
          </w:tcPr>
          <w:p w14:paraId="2017D7AE">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0.2</w:t>
            </w:r>
          </w:p>
        </w:tc>
        <w:tc>
          <w:tcPr>
            <w:tcW w:w="1039" w:type="dxa"/>
          </w:tcPr>
          <w:p w14:paraId="4DB9EA27">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0.1</w:t>
            </w:r>
          </w:p>
        </w:tc>
        <w:tc>
          <w:tcPr>
            <w:tcW w:w="1039" w:type="dxa"/>
          </w:tcPr>
          <w:p w14:paraId="7058BFFE">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p>
        </w:tc>
        <w:tc>
          <w:tcPr>
            <w:tcW w:w="1039" w:type="dxa"/>
          </w:tcPr>
          <w:p w14:paraId="17CA6DB6">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p>
        </w:tc>
        <w:tc>
          <w:tcPr>
            <w:tcW w:w="1039" w:type="dxa"/>
          </w:tcPr>
          <w:p w14:paraId="4BDF8B1A">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p>
        </w:tc>
        <w:tc>
          <w:tcPr>
            <w:tcW w:w="1040" w:type="dxa"/>
          </w:tcPr>
          <w:p w14:paraId="59E82FD2">
            <w:pPr>
              <w:keepNext w:val="0"/>
              <w:keepLines w:val="0"/>
              <w:pageBreakBefore w:val="0"/>
              <w:widowControl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p>
        </w:tc>
      </w:tr>
    </w:tbl>
    <w:p w14:paraId="4E0203E4">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 xml:space="preserve">说明: </w:t>
      </w:r>
    </w:p>
    <w:p w14:paraId="3E5C2914">
      <w:pPr>
        <w:keepNext w:val="0"/>
        <w:keepLines w:val="0"/>
        <w:pageBreakBefore w:val="0"/>
        <w:numPr>
          <w:ilvl w:val="0"/>
          <w:numId w:val="0"/>
        </w:numPr>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1</w:t>
      </w:r>
      <w:r>
        <w:rPr>
          <w:rFonts w:hint="eastAsia" w:ascii="仿宋_GB2312" w:hAnsi="仿宋_GB2312" w:eastAsia="仿宋_GB2312" w:cs="仿宋_GB2312"/>
          <w:b w:val="0"/>
          <w:bCs w:val="0"/>
          <w:snapToGrid/>
          <w:color w:val="auto"/>
          <w:sz w:val="32"/>
          <w:szCs w:val="32"/>
          <w:lang w:eastAsia="zh-CN"/>
        </w:rPr>
        <w:t>）体育类各种竞赛必须是指经院、校、省</w:t>
      </w:r>
      <w:r>
        <w:rPr>
          <w:rFonts w:hint="eastAsia" w:ascii="仿宋_GB2312" w:hAnsi="仿宋_GB2312" w:eastAsia="仿宋_GB2312" w:cs="仿宋_GB2312"/>
          <w:b w:val="0"/>
          <w:bCs w:val="0"/>
          <w:snapToGrid/>
          <w:color w:val="auto"/>
          <w:sz w:val="32"/>
          <w:szCs w:val="32"/>
          <w:lang w:val="en-US" w:eastAsia="zh-CN"/>
        </w:rPr>
        <w:t>市等</w:t>
      </w:r>
      <w:r>
        <w:rPr>
          <w:rFonts w:hint="eastAsia" w:ascii="仿宋_GB2312" w:hAnsi="仿宋_GB2312" w:eastAsia="仿宋_GB2312" w:cs="仿宋_GB2312"/>
          <w:b w:val="0"/>
          <w:bCs w:val="0"/>
          <w:snapToGrid/>
          <w:color w:val="auto"/>
          <w:sz w:val="32"/>
          <w:szCs w:val="32"/>
          <w:lang w:eastAsia="zh-CN"/>
        </w:rPr>
        <w:t>有关单位</w:t>
      </w:r>
      <w:r>
        <w:rPr>
          <w:rFonts w:hint="eastAsia" w:ascii="仿宋_GB2312" w:hAnsi="仿宋_GB2312" w:eastAsia="仿宋_GB2312" w:cs="仿宋_GB2312"/>
          <w:b w:val="0"/>
          <w:bCs w:val="0"/>
          <w:snapToGrid/>
          <w:color w:val="auto"/>
          <w:sz w:val="32"/>
          <w:szCs w:val="32"/>
          <w:lang w:val="en-US" w:eastAsia="zh-CN"/>
        </w:rPr>
        <w:t>/部门</w:t>
      </w:r>
      <w:r>
        <w:rPr>
          <w:rFonts w:hint="eastAsia" w:ascii="仿宋_GB2312" w:hAnsi="仿宋_GB2312" w:eastAsia="仿宋_GB2312" w:cs="仿宋_GB2312"/>
          <w:b w:val="0"/>
          <w:bCs w:val="0"/>
          <w:snapToGrid/>
          <w:color w:val="auto"/>
          <w:sz w:val="32"/>
          <w:szCs w:val="32"/>
          <w:lang w:eastAsia="zh-CN"/>
        </w:rPr>
        <w:t>批准举办的竞技类比赛,如:校运会、院运会、篮球比赛等; 趣味运动、</w:t>
      </w:r>
      <w:r>
        <w:rPr>
          <w:rFonts w:hint="eastAsia" w:ascii="仿宋_GB2312" w:hAnsi="仿宋_GB2312" w:eastAsia="仿宋_GB2312" w:cs="仿宋_GB2312"/>
          <w:b w:val="0"/>
          <w:bCs w:val="0"/>
          <w:snapToGrid/>
          <w:color w:val="auto"/>
          <w:sz w:val="32"/>
          <w:szCs w:val="32"/>
          <w:highlight w:val="none"/>
          <w:lang w:eastAsia="zh-CN"/>
        </w:rPr>
        <w:t>友谊</w:t>
      </w:r>
      <w:r>
        <w:rPr>
          <w:rFonts w:hint="eastAsia" w:ascii="仿宋_GB2312" w:hAnsi="仿宋_GB2312" w:eastAsia="仿宋_GB2312" w:cs="仿宋_GB2312"/>
          <w:b w:val="0"/>
          <w:bCs w:val="0"/>
          <w:snapToGrid/>
          <w:color w:val="auto"/>
          <w:sz w:val="32"/>
          <w:szCs w:val="32"/>
          <w:highlight w:val="none"/>
          <w:lang w:val="en-US" w:eastAsia="zh-CN"/>
        </w:rPr>
        <w:t>比</w:t>
      </w:r>
      <w:r>
        <w:rPr>
          <w:rFonts w:hint="eastAsia" w:ascii="仿宋_GB2312" w:hAnsi="仿宋_GB2312" w:eastAsia="仿宋_GB2312" w:cs="仿宋_GB2312"/>
          <w:b w:val="0"/>
          <w:bCs w:val="0"/>
          <w:snapToGrid/>
          <w:color w:val="auto"/>
          <w:sz w:val="32"/>
          <w:szCs w:val="32"/>
          <w:highlight w:val="none"/>
          <w:lang w:eastAsia="zh-CN"/>
        </w:rPr>
        <w:t>赛</w:t>
      </w:r>
      <w:r>
        <w:rPr>
          <w:rFonts w:hint="eastAsia" w:ascii="仿宋_GB2312" w:hAnsi="仿宋_GB2312" w:eastAsia="仿宋_GB2312" w:cs="仿宋_GB2312"/>
          <w:b w:val="0"/>
          <w:bCs w:val="0"/>
          <w:snapToGrid/>
          <w:color w:val="auto"/>
          <w:sz w:val="32"/>
          <w:szCs w:val="32"/>
          <w:lang w:eastAsia="zh-CN"/>
        </w:rPr>
        <w:t>等不计算在内。</w:t>
      </w:r>
    </w:p>
    <w:p w14:paraId="70A0C9A4">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2</w:t>
      </w:r>
      <w:r>
        <w:rPr>
          <w:rFonts w:hint="eastAsia" w:ascii="仿宋_GB2312" w:hAnsi="仿宋_GB2312" w:eastAsia="仿宋_GB2312" w:cs="仿宋_GB2312"/>
          <w:b w:val="0"/>
          <w:bCs w:val="0"/>
          <w:snapToGrid/>
          <w:color w:val="auto"/>
          <w:sz w:val="32"/>
          <w:szCs w:val="32"/>
          <w:lang w:eastAsia="zh-CN"/>
        </w:rPr>
        <w:t>）体育比赛以每人每次每项计,同一项目在不同级别比赛获奖,只计最高分,不累加;不同项目可累加,但累加不可超过3项; 体育比赛的首发队员按对应级别分值加分、替补队员按对应级别分值的50%加分。</w:t>
      </w:r>
    </w:p>
    <w:p w14:paraId="63648F90">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highlight w:val="none"/>
          <w:lang w:eastAsia="zh-CN"/>
        </w:rPr>
        <w:t>（</w:t>
      </w:r>
      <w:r>
        <w:rPr>
          <w:rFonts w:hint="eastAsia" w:ascii="仿宋_GB2312" w:hAnsi="仿宋_GB2312" w:eastAsia="仿宋_GB2312" w:cs="仿宋_GB2312"/>
          <w:b w:val="0"/>
          <w:bCs w:val="0"/>
          <w:snapToGrid/>
          <w:color w:val="auto"/>
          <w:sz w:val="32"/>
          <w:szCs w:val="32"/>
          <w:highlight w:val="none"/>
          <w:lang w:val="en-US" w:eastAsia="zh-CN"/>
        </w:rPr>
        <w:t>3</w:t>
      </w:r>
      <w:r>
        <w:rPr>
          <w:rFonts w:hint="eastAsia" w:ascii="仿宋_GB2312" w:hAnsi="仿宋_GB2312" w:eastAsia="仿宋_GB2312" w:cs="仿宋_GB2312"/>
          <w:b w:val="0"/>
          <w:bCs w:val="0"/>
          <w:snapToGrid/>
          <w:color w:val="auto"/>
          <w:sz w:val="32"/>
          <w:szCs w:val="32"/>
          <w:highlight w:val="none"/>
          <w:lang w:eastAsia="zh-CN"/>
        </w:rPr>
        <w:t>）活动级别</w:t>
      </w:r>
      <w:r>
        <w:rPr>
          <w:rFonts w:hint="eastAsia" w:ascii="仿宋_GB2312" w:hAnsi="仿宋_GB2312" w:eastAsia="仿宋_GB2312" w:cs="仿宋_GB2312"/>
          <w:b w:val="0"/>
          <w:bCs w:val="0"/>
          <w:snapToGrid/>
          <w:color w:val="auto"/>
          <w:sz w:val="32"/>
          <w:szCs w:val="32"/>
          <w:lang w:eastAsia="zh-CN"/>
        </w:rPr>
        <w:t>一般根据主办单位的级别确定，主办单位级别和活动范围级别不同时，以较低的级别来确定活动级别</w:t>
      </w:r>
      <w:r>
        <w:rPr>
          <w:rFonts w:hint="eastAsia" w:ascii="仿宋_GB2312" w:hAnsi="仿宋_GB2312" w:eastAsia="仿宋_GB2312" w:cs="仿宋_GB2312"/>
          <w:b w:val="0"/>
          <w:bCs w:val="0"/>
          <w:snapToGrid/>
          <w:color w:val="auto"/>
          <w:sz w:val="32"/>
          <w:szCs w:val="32"/>
          <w:highlight w:val="none"/>
          <w:lang w:eastAsia="zh-CN"/>
        </w:rPr>
        <w:t>。</w:t>
      </w:r>
    </w:p>
    <w:p w14:paraId="23E4723D">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（4）多院系指3个及以上院系，含校区级别的比赛。</w:t>
      </w:r>
    </w:p>
    <w:p w14:paraId="56449529">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（5）获奖加分必须提供主办方盖章的获奖证书或出具的有效获奖证明。</w:t>
      </w:r>
    </w:p>
    <w:p w14:paraId="746863F7">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二</w:t>
      </w:r>
      <w:r>
        <w:rPr>
          <w:rFonts w:hint="eastAsia" w:ascii="仿宋_GB2312" w:hAnsi="仿宋_GB2312" w:eastAsia="仿宋_GB2312" w:cs="仿宋_GB2312"/>
          <w:b w:val="0"/>
          <w:bCs w:val="0"/>
          <w:snapToGrid/>
          <w:color w:val="auto"/>
          <w:sz w:val="32"/>
          <w:szCs w:val="32"/>
          <w:lang w:eastAsia="zh-CN"/>
        </w:rPr>
        <w:t>）文艺类加分</w:t>
      </w:r>
    </w:p>
    <w:tbl>
      <w:tblPr>
        <w:tblStyle w:val="8"/>
        <w:tblpPr w:leftFromText="180" w:rightFromText="180" w:vertAnchor="text" w:horzAnchor="page" w:tblpX="952" w:tblpY="473"/>
        <w:tblOverlap w:val="never"/>
        <w:tblW w:w="10274" w:type="dxa"/>
        <w:tblInd w:w="0" w:type="dxa"/>
        <w:tblLayout w:type="fixed"/>
        <w:tblCellMar>
          <w:top w:w="0" w:type="dxa"/>
          <w:left w:w="108" w:type="dxa"/>
          <w:bottom w:w="0" w:type="dxa"/>
          <w:right w:w="108" w:type="dxa"/>
        </w:tblCellMar>
      </w:tblPr>
      <w:tblGrid>
        <w:gridCol w:w="657"/>
        <w:gridCol w:w="551"/>
        <w:gridCol w:w="551"/>
        <w:gridCol w:w="551"/>
        <w:gridCol w:w="774"/>
        <w:gridCol w:w="524"/>
        <w:gridCol w:w="524"/>
        <w:gridCol w:w="524"/>
        <w:gridCol w:w="773"/>
        <w:gridCol w:w="525"/>
        <w:gridCol w:w="525"/>
        <w:gridCol w:w="525"/>
        <w:gridCol w:w="773"/>
        <w:gridCol w:w="525"/>
        <w:gridCol w:w="525"/>
        <w:gridCol w:w="525"/>
        <w:gridCol w:w="922"/>
      </w:tblGrid>
      <w:tr w14:paraId="1AE06F21">
        <w:tblPrEx>
          <w:tblCellMar>
            <w:top w:w="0" w:type="dxa"/>
            <w:left w:w="108" w:type="dxa"/>
            <w:bottom w:w="0" w:type="dxa"/>
            <w:right w:w="108" w:type="dxa"/>
          </w:tblCellMar>
        </w:tblPrEx>
        <w:trPr>
          <w:trHeight w:val="499" w:hRule="atLeast"/>
        </w:trPr>
        <w:tc>
          <w:tcPr>
            <w:tcW w:w="74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BCF7C84">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级别</w:t>
            </w:r>
          </w:p>
        </w:tc>
        <w:tc>
          <w:tcPr>
            <w:tcW w:w="850" w:type="dxa"/>
            <w:gridSpan w:val="4"/>
            <w:tcBorders>
              <w:top w:val="single" w:color="auto" w:sz="4" w:space="0"/>
              <w:left w:val="single" w:color="auto" w:sz="4" w:space="0"/>
              <w:bottom w:val="single" w:color="auto" w:sz="4" w:space="0"/>
              <w:right w:val="single" w:color="auto" w:sz="4" w:space="0"/>
            </w:tcBorders>
          </w:tcPr>
          <w:p w14:paraId="74935F15">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国家级</w:t>
            </w:r>
          </w:p>
        </w:tc>
        <w:tc>
          <w:tcPr>
            <w:tcW w:w="850"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B8A3763">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省/市级</w:t>
            </w:r>
          </w:p>
        </w:tc>
        <w:tc>
          <w:tcPr>
            <w:tcW w:w="850"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3592EA3">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校级</w:t>
            </w:r>
          </w:p>
        </w:tc>
        <w:tc>
          <w:tcPr>
            <w:tcW w:w="1020"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7AC4572">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学院</w:t>
            </w:r>
          </w:p>
        </w:tc>
      </w:tr>
      <w:tr w14:paraId="5E8545FF">
        <w:tblPrEx>
          <w:tblCellMar>
            <w:top w:w="0" w:type="dxa"/>
            <w:left w:w="108" w:type="dxa"/>
            <w:bottom w:w="0" w:type="dxa"/>
            <w:right w:w="108" w:type="dxa"/>
          </w:tblCellMar>
        </w:tblPrEx>
        <w:trPr>
          <w:trHeight w:val="558" w:hRule="atLeast"/>
        </w:trPr>
        <w:tc>
          <w:tcPr>
            <w:tcW w:w="74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4C2654B">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等级</w:t>
            </w:r>
          </w:p>
        </w:tc>
        <w:tc>
          <w:tcPr>
            <w:tcW w:w="595" w:type="dxa"/>
            <w:tcBorders>
              <w:top w:val="single" w:color="auto" w:sz="4" w:space="0"/>
              <w:left w:val="single" w:color="auto" w:sz="4" w:space="0"/>
              <w:bottom w:val="single" w:color="auto" w:sz="4" w:space="0"/>
              <w:right w:val="single" w:color="auto" w:sz="4" w:space="0"/>
            </w:tcBorders>
            <w:vAlign w:val="center"/>
          </w:tcPr>
          <w:p w14:paraId="1A6B2428">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一等</w:t>
            </w:r>
          </w:p>
        </w:tc>
        <w:tc>
          <w:tcPr>
            <w:tcW w:w="595" w:type="dxa"/>
            <w:tcBorders>
              <w:top w:val="single" w:color="auto" w:sz="4" w:space="0"/>
              <w:left w:val="single" w:color="auto" w:sz="4" w:space="0"/>
              <w:bottom w:val="single" w:color="auto" w:sz="4" w:space="0"/>
              <w:right w:val="single" w:color="auto" w:sz="4" w:space="0"/>
            </w:tcBorders>
            <w:vAlign w:val="center"/>
          </w:tcPr>
          <w:p w14:paraId="794F6756">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二等</w:t>
            </w:r>
          </w:p>
        </w:tc>
        <w:tc>
          <w:tcPr>
            <w:tcW w:w="595" w:type="dxa"/>
            <w:tcBorders>
              <w:top w:val="single" w:color="auto" w:sz="4" w:space="0"/>
              <w:left w:val="single" w:color="auto" w:sz="4" w:space="0"/>
              <w:bottom w:val="single" w:color="auto" w:sz="4" w:space="0"/>
              <w:right w:val="single" w:color="auto" w:sz="4" w:space="0"/>
            </w:tcBorders>
            <w:vAlign w:val="center"/>
          </w:tcPr>
          <w:p w14:paraId="4550DB5D">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三等</w:t>
            </w:r>
          </w:p>
        </w:tc>
        <w:tc>
          <w:tcPr>
            <w:tcW w:w="850" w:type="dxa"/>
            <w:tcBorders>
              <w:top w:val="single" w:color="auto" w:sz="4" w:space="0"/>
              <w:left w:val="single" w:color="auto" w:sz="4" w:space="0"/>
              <w:bottom w:val="single" w:color="auto" w:sz="4" w:space="0"/>
              <w:right w:val="single" w:color="auto" w:sz="4" w:space="0"/>
            </w:tcBorders>
            <w:vAlign w:val="center"/>
          </w:tcPr>
          <w:p w14:paraId="4840E462">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参演</w:t>
            </w:r>
          </w:p>
        </w:tc>
        <w:tc>
          <w:tcPr>
            <w:tcW w:w="59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0B5C961">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一等</w:t>
            </w:r>
          </w:p>
        </w:tc>
        <w:tc>
          <w:tcPr>
            <w:tcW w:w="59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860D350">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二等</w:t>
            </w:r>
          </w:p>
        </w:tc>
        <w:tc>
          <w:tcPr>
            <w:tcW w:w="59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2775BEF">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三等</w:t>
            </w:r>
          </w:p>
        </w:tc>
        <w:tc>
          <w:tcPr>
            <w:tcW w:w="850" w:type="dxa"/>
            <w:tcBorders>
              <w:top w:val="single" w:color="auto" w:sz="4" w:space="0"/>
              <w:left w:val="single" w:color="auto" w:sz="4" w:space="0"/>
              <w:bottom w:val="single" w:color="auto" w:sz="4" w:space="0"/>
              <w:right w:val="single" w:color="auto" w:sz="4" w:space="0"/>
            </w:tcBorders>
            <w:vAlign w:val="center"/>
          </w:tcPr>
          <w:p w14:paraId="0F1D3D0F">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参演</w:t>
            </w:r>
          </w:p>
        </w:tc>
        <w:tc>
          <w:tcPr>
            <w:tcW w:w="59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CD21925">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一等</w:t>
            </w:r>
          </w:p>
        </w:tc>
        <w:tc>
          <w:tcPr>
            <w:tcW w:w="59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C2B0A3A">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二等</w:t>
            </w:r>
          </w:p>
        </w:tc>
        <w:tc>
          <w:tcPr>
            <w:tcW w:w="59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EA728E9">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三等</w:t>
            </w:r>
          </w:p>
        </w:tc>
        <w:tc>
          <w:tcPr>
            <w:tcW w:w="850" w:type="dxa"/>
            <w:tcBorders>
              <w:top w:val="single" w:color="auto" w:sz="4" w:space="0"/>
              <w:left w:val="single" w:color="auto" w:sz="4" w:space="0"/>
              <w:bottom w:val="single" w:color="auto" w:sz="4" w:space="0"/>
              <w:right w:val="single" w:color="auto" w:sz="4" w:space="0"/>
            </w:tcBorders>
            <w:vAlign w:val="center"/>
          </w:tcPr>
          <w:p w14:paraId="7A18CF5B">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参演</w:t>
            </w:r>
          </w:p>
        </w:tc>
        <w:tc>
          <w:tcPr>
            <w:tcW w:w="59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A578575">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一等</w:t>
            </w:r>
          </w:p>
        </w:tc>
        <w:tc>
          <w:tcPr>
            <w:tcW w:w="59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AFA2CBE">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二等</w:t>
            </w:r>
          </w:p>
        </w:tc>
        <w:tc>
          <w:tcPr>
            <w:tcW w:w="59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6CFE771">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三等</w:t>
            </w:r>
          </w:p>
        </w:tc>
        <w:tc>
          <w:tcPr>
            <w:tcW w:w="1020" w:type="dxa"/>
            <w:tcBorders>
              <w:top w:val="single" w:color="auto" w:sz="4" w:space="0"/>
              <w:left w:val="single" w:color="auto" w:sz="4" w:space="0"/>
              <w:bottom w:val="single" w:color="auto" w:sz="4" w:space="0"/>
              <w:right w:val="single" w:color="auto" w:sz="4" w:space="0"/>
            </w:tcBorders>
            <w:vAlign w:val="center"/>
          </w:tcPr>
          <w:p w14:paraId="35D1ABF4">
            <w:pPr>
              <w:keepNext w:val="0"/>
              <w:keepLines w:val="0"/>
              <w:pageBreakBefore w:val="0"/>
              <w:kinsoku/>
              <w:wordWrap/>
              <w:overflowPunct/>
              <w:topLinePunct w:val="0"/>
              <w:bidi w:val="0"/>
              <w:spacing w:line="540" w:lineRule="exact"/>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参演</w:t>
            </w:r>
          </w:p>
        </w:tc>
      </w:tr>
      <w:tr w14:paraId="0C4819A4">
        <w:tblPrEx>
          <w:tblCellMar>
            <w:top w:w="0" w:type="dxa"/>
            <w:left w:w="108" w:type="dxa"/>
            <w:bottom w:w="0" w:type="dxa"/>
            <w:right w:w="108" w:type="dxa"/>
          </w:tblCellMar>
        </w:tblPrEx>
        <w:trPr>
          <w:trHeight w:val="550" w:hRule="atLeast"/>
        </w:trPr>
        <w:tc>
          <w:tcPr>
            <w:tcW w:w="74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92EF21C">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加分</w:t>
            </w:r>
          </w:p>
        </w:tc>
        <w:tc>
          <w:tcPr>
            <w:tcW w:w="595" w:type="dxa"/>
            <w:tcBorders>
              <w:top w:val="single" w:color="auto" w:sz="4" w:space="0"/>
              <w:left w:val="single" w:color="auto" w:sz="4" w:space="0"/>
              <w:bottom w:val="single" w:color="auto" w:sz="4" w:space="0"/>
              <w:right w:val="single" w:color="auto" w:sz="4" w:space="0"/>
            </w:tcBorders>
          </w:tcPr>
          <w:p w14:paraId="04E956FB">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4</w:t>
            </w:r>
          </w:p>
        </w:tc>
        <w:tc>
          <w:tcPr>
            <w:tcW w:w="595" w:type="dxa"/>
            <w:tcBorders>
              <w:top w:val="single" w:color="auto" w:sz="4" w:space="0"/>
              <w:left w:val="single" w:color="auto" w:sz="4" w:space="0"/>
              <w:bottom w:val="single" w:color="auto" w:sz="4" w:space="0"/>
              <w:right w:val="single" w:color="auto" w:sz="4" w:space="0"/>
            </w:tcBorders>
          </w:tcPr>
          <w:p w14:paraId="6FACA8DC">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2</w:t>
            </w:r>
          </w:p>
        </w:tc>
        <w:tc>
          <w:tcPr>
            <w:tcW w:w="595" w:type="dxa"/>
            <w:tcBorders>
              <w:top w:val="single" w:color="auto" w:sz="4" w:space="0"/>
              <w:left w:val="single" w:color="auto" w:sz="4" w:space="0"/>
              <w:bottom w:val="single" w:color="auto" w:sz="4" w:space="0"/>
              <w:right w:val="single" w:color="auto" w:sz="4" w:space="0"/>
            </w:tcBorders>
          </w:tcPr>
          <w:p w14:paraId="26BDDF54">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w:t>
            </w:r>
          </w:p>
        </w:tc>
        <w:tc>
          <w:tcPr>
            <w:tcW w:w="850" w:type="dxa"/>
            <w:tcBorders>
              <w:top w:val="single" w:color="auto" w:sz="4" w:space="0"/>
              <w:left w:val="single" w:color="auto" w:sz="4" w:space="0"/>
              <w:bottom w:val="single" w:color="auto" w:sz="4" w:space="0"/>
              <w:right w:val="single" w:color="auto" w:sz="4" w:space="0"/>
            </w:tcBorders>
          </w:tcPr>
          <w:p w14:paraId="6DF80B72">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0.5</w:t>
            </w:r>
          </w:p>
        </w:tc>
        <w:tc>
          <w:tcPr>
            <w:tcW w:w="59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EE0C9AE">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1</w:t>
            </w:r>
          </w:p>
        </w:tc>
        <w:tc>
          <w:tcPr>
            <w:tcW w:w="59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504A7F0">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0.8</w:t>
            </w:r>
          </w:p>
        </w:tc>
        <w:tc>
          <w:tcPr>
            <w:tcW w:w="59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D26644D">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0.4</w:t>
            </w:r>
          </w:p>
        </w:tc>
        <w:tc>
          <w:tcPr>
            <w:tcW w:w="850" w:type="dxa"/>
            <w:tcBorders>
              <w:top w:val="single" w:color="auto" w:sz="4" w:space="0"/>
              <w:left w:val="single" w:color="auto" w:sz="4" w:space="0"/>
              <w:bottom w:val="single" w:color="auto" w:sz="4" w:space="0"/>
              <w:right w:val="single" w:color="auto" w:sz="4" w:space="0"/>
            </w:tcBorders>
            <w:vAlign w:val="center"/>
          </w:tcPr>
          <w:p w14:paraId="2D5CEE46">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0.2</w:t>
            </w:r>
          </w:p>
        </w:tc>
        <w:tc>
          <w:tcPr>
            <w:tcW w:w="59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FC945C1">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0.8</w:t>
            </w:r>
          </w:p>
        </w:tc>
        <w:tc>
          <w:tcPr>
            <w:tcW w:w="59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8D66504">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0.4</w:t>
            </w:r>
          </w:p>
        </w:tc>
        <w:tc>
          <w:tcPr>
            <w:tcW w:w="59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FB29137">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0.2</w:t>
            </w:r>
          </w:p>
        </w:tc>
        <w:tc>
          <w:tcPr>
            <w:tcW w:w="850" w:type="dxa"/>
            <w:tcBorders>
              <w:top w:val="single" w:color="auto" w:sz="4" w:space="0"/>
              <w:left w:val="single" w:color="auto" w:sz="4" w:space="0"/>
              <w:bottom w:val="single" w:color="auto" w:sz="4" w:space="0"/>
              <w:right w:val="single" w:color="auto" w:sz="4" w:space="0"/>
            </w:tcBorders>
            <w:vAlign w:val="center"/>
          </w:tcPr>
          <w:p w14:paraId="3E142209">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0.1</w:t>
            </w:r>
          </w:p>
        </w:tc>
        <w:tc>
          <w:tcPr>
            <w:tcW w:w="59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8BD0CBB">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0.4</w:t>
            </w:r>
          </w:p>
        </w:tc>
        <w:tc>
          <w:tcPr>
            <w:tcW w:w="59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860A4FB">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0.2</w:t>
            </w:r>
          </w:p>
        </w:tc>
        <w:tc>
          <w:tcPr>
            <w:tcW w:w="59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1AF4FDE">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0.1</w:t>
            </w:r>
          </w:p>
        </w:tc>
        <w:tc>
          <w:tcPr>
            <w:tcW w:w="1020" w:type="dxa"/>
            <w:tcBorders>
              <w:top w:val="single" w:color="auto" w:sz="4" w:space="0"/>
              <w:left w:val="single" w:color="auto" w:sz="4" w:space="0"/>
              <w:bottom w:val="single" w:color="auto" w:sz="4" w:space="0"/>
              <w:right w:val="single" w:color="auto" w:sz="4" w:space="0"/>
            </w:tcBorders>
            <w:vAlign w:val="center"/>
          </w:tcPr>
          <w:p w14:paraId="38716406">
            <w:pPr>
              <w:keepNext w:val="0"/>
              <w:keepLines w:val="0"/>
              <w:pageBreakBefore w:val="0"/>
              <w:kinsoku/>
              <w:wordWrap/>
              <w:overflowPunct/>
              <w:topLinePunct w:val="0"/>
              <w:bidi w:val="0"/>
              <w:spacing w:line="540" w:lineRule="exact"/>
              <w:jc w:val="center"/>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0.05</w:t>
            </w:r>
          </w:p>
        </w:tc>
      </w:tr>
    </w:tbl>
    <w:p w14:paraId="6B416C84">
      <w:pPr>
        <w:keepNext w:val="0"/>
        <w:keepLines w:val="0"/>
        <w:pageBreakBefore w:val="0"/>
        <w:numPr>
          <w:ilvl w:val="0"/>
          <w:numId w:val="5"/>
        </w:numPr>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文艺类包含文艺汇演（比赛）、书画、摄影、征文等，文艺汇演指由校、院等单位举办的艺术节、歌唱比赛等演出。地方、省市、国家级比赛一般应由学校学院组织遴选推荐。个人报名参加社会组织和企事业单位举办的文艺活动不计入此类加分。仅文艺汇演类（含未设置奖项文艺汇演活动）计算参演加分。</w:t>
      </w:r>
    </w:p>
    <w:p w14:paraId="47ED00EF">
      <w:pPr>
        <w:keepNext w:val="0"/>
        <w:keepLines w:val="0"/>
        <w:pageBreakBefore w:val="0"/>
        <w:numPr>
          <w:ilvl w:val="0"/>
          <w:numId w:val="5"/>
        </w:numPr>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其他文化类各种竞赛必须是指经院、校、省市</w:t>
      </w:r>
      <w:r>
        <w:rPr>
          <w:rFonts w:hint="eastAsia" w:ascii="仿宋_GB2312" w:hAnsi="仿宋_GB2312" w:eastAsia="仿宋_GB2312" w:cs="仿宋_GB2312"/>
          <w:b w:val="0"/>
          <w:bCs w:val="0"/>
          <w:snapToGrid/>
          <w:color w:val="auto"/>
          <w:sz w:val="32"/>
          <w:szCs w:val="32"/>
          <w:lang w:val="en-US" w:eastAsia="zh-CN"/>
        </w:rPr>
        <w:t>等</w:t>
      </w:r>
      <w:r>
        <w:rPr>
          <w:rFonts w:hint="eastAsia" w:ascii="仿宋_GB2312" w:hAnsi="仿宋_GB2312" w:eastAsia="仿宋_GB2312" w:cs="仿宋_GB2312"/>
          <w:b w:val="0"/>
          <w:bCs w:val="0"/>
          <w:snapToGrid/>
          <w:color w:val="auto"/>
          <w:sz w:val="32"/>
          <w:szCs w:val="32"/>
          <w:lang w:eastAsia="zh-CN"/>
        </w:rPr>
        <w:t>有关单位</w:t>
      </w:r>
      <w:r>
        <w:rPr>
          <w:rFonts w:hint="eastAsia" w:ascii="仿宋_GB2312" w:hAnsi="仿宋_GB2312" w:eastAsia="仿宋_GB2312" w:cs="仿宋_GB2312"/>
          <w:b w:val="0"/>
          <w:bCs w:val="0"/>
          <w:snapToGrid/>
          <w:color w:val="auto"/>
          <w:sz w:val="32"/>
          <w:szCs w:val="32"/>
          <w:lang w:val="en-US" w:eastAsia="zh-CN"/>
        </w:rPr>
        <w:t>/部门</w:t>
      </w:r>
      <w:r>
        <w:rPr>
          <w:rFonts w:hint="eastAsia" w:ascii="仿宋_GB2312" w:hAnsi="仿宋_GB2312" w:eastAsia="仿宋_GB2312" w:cs="仿宋_GB2312"/>
          <w:b w:val="0"/>
          <w:bCs w:val="0"/>
          <w:snapToGrid/>
          <w:color w:val="auto"/>
          <w:sz w:val="32"/>
          <w:szCs w:val="32"/>
          <w:lang w:eastAsia="zh-CN"/>
        </w:rPr>
        <w:t>批准举办的活动,如:辩论赛、演讲比赛、合唱比赛、征文比赛、文化类作品征集比赛、知识竞赛等。未通过学校、学院组织的网络趣味竞答、抽奖问答等不计算在内。</w:t>
      </w:r>
    </w:p>
    <w:p w14:paraId="6A49A9C3">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3</w:t>
      </w:r>
      <w:r>
        <w:rPr>
          <w:rFonts w:hint="eastAsia" w:ascii="仿宋_GB2312" w:hAnsi="仿宋_GB2312" w:eastAsia="仿宋_GB2312" w:cs="仿宋_GB2312"/>
          <w:b w:val="0"/>
          <w:bCs w:val="0"/>
          <w:snapToGrid/>
          <w:color w:val="auto"/>
          <w:sz w:val="32"/>
          <w:szCs w:val="32"/>
          <w:lang w:eastAsia="zh-CN"/>
        </w:rPr>
        <w:t>）担任各类文艺展演、汇演担任主持人的按相应级别二等奖进行加分，参评学年加分不超过2次。</w:t>
      </w:r>
    </w:p>
    <w:p w14:paraId="27028EFC">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4</w:t>
      </w:r>
      <w:r>
        <w:rPr>
          <w:rFonts w:hint="eastAsia" w:ascii="仿宋_GB2312" w:hAnsi="仿宋_GB2312" w:eastAsia="仿宋_GB2312" w:cs="仿宋_GB2312"/>
          <w:b w:val="0"/>
          <w:bCs w:val="0"/>
          <w:snapToGrid/>
          <w:color w:val="auto"/>
          <w:sz w:val="32"/>
          <w:szCs w:val="32"/>
          <w:lang w:eastAsia="zh-CN"/>
        </w:rPr>
        <w:t>）获得其他级别奖励（除了参赛就能拿奖的），如单项奖励等，以比赛级别的三等奖的50%计分，如果同时获得等级和单项奖励，则以最高分值项计分，不累加。</w:t>
      </w:r>
    </w:p>
    <w:p w14:paraId="283417AA">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5</w:t>
      </w:r>
      <w:r>
        <w:rPr>
          <w:rFonts w:hint="eastAsia" w:ascii="仿宋_GB2312" w:hAnsi="仿宋_GB2312" w:eastAsia="仿宋_GB2312" w:cs="仿宋_GB2312"/>
          <w:b w:val="0"/>
          <w:bCs w:val="0"/>
          <w:snapToGrid/>
          <w:color w:val="auto"/>
          <w:sz w:val="32"/>
          <w:szCs w:val="32"/>
          <w:lang w:eastAsia="zh-CN"/>
        </w:rPr>
        <w:t>）在省级（</w:t>
      </w:r>
      <w:r>
        <w:rPr>
          <w:rFonts w:hint="eastAsia" w:ascii="仿宋_GB2312" w:hAnsi="仿宋_GB2312" w:eastAsia="仿宋_GB2312" w:cs="仿宋_GB2312"/>
          <w:b w:val="0"/>
          <w:bCs w:val="0"/>
          <w:snapToGrid/>
          <w:color w:val="auto"/>
          <w:sz w:val="32"/>
          <w:szCs w:val="32"/>
          <w:lang w:val="en-US" w:eastAsia="zh-CN"/>
        </w:rPr>
        <w:t>含省级</w:t>
      </w:r>
      <w:r>
        <w:rPr>
          <w:rFonts w:hint="eastAsia" w:ascii="仿宋_GB2312" w:hAnsi="仿宋_GB2312" w:eastAsia="仿宋_GB2312" w:cs="仿宋_GB2312"/>
          <w:b w:val="0"/>
          <w:bCs w:val="0"/>
          <w:snapToGrid/>
          <w:color w:val="auto"/>
          <w:sz w:val="32"/>
          <w:szCs w:val="32"/>
          <w:lang w:eastAsia="zh-CN"/>
        </w:rPr>
        <w:t>）以上报纸发表文艺作品（如摄影、书画、文章等）按相应级别二等奖加分，本条款</w:t>
      </w:r>
      <w:r>
        <w:rPr>
          <w:rFonts w:hint="eastAsia" w:ascii="仿宋_GB2312" w:hAnsi="仿宋_GB2312" w:eastAsia="仿宋_GB2312" w:cs="仿宋_GB2312"/>
          <w:b w:val="0"/>
          <w:bCs w:val="0"/>
          <w:snapToGrid/>
          <w:color w:val="auto"/>
          <w:sz w:val="32"/>
          <w:szCs w:val="32"/>
          <w:lang w:val="en-US" w:eastAsia="zh-CN"/>
        </w:rPr>
        <w:t>限第一作者加分</w:t>
      </w:r>
      <w:r>
        <w:rPr>
          <w:rFonts w:hint="eastAsia" w:ascii="仿宋_GB2312" w:hAnsi="仿宋_GB2312" w:eastAsia="仿宋_GB2312" w:cs="仿宋_GB2312"/>
          <w:b w:val="0"/>
          <w:bCs w:val="0"/>
          <w:snapToGrid/>
          <w:color w:val="auto"/>
          <w:sz w:val="32"/>
          <w:szCs w:val="32"/>
          <w:lang w:eastAsia="zh-CN"/>
        </w:rPr>
        <w:t>。</w:t>
      </w:r>
    </w:p>
    <w:p w14:paraId="717C9E7C">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6</w:t>
      </w:r>
      <w:r>
        <w:rPr>
          <w:rFonts w:hint="eastAsia" w:ascii="仿宋_GB2312" w:hAnsi="仿宋_GB2312" w:eastAsia="仿宋_GB2312" w:cs="仿宋_GB2312"/>
          <w:b w:val="0"/>
          <w:bCs w:val="0"/>
          <w:snapToGrid/>
          <w:color w:val="auto"/>
          <w:sz w:val="32"/>
          <w:szCs w:val="32"/>
          <w:lang w:eastAsia="zh-CN"/>
        </w:rPr>
        <w:t>）如获其他具体名次，其加分由学院研究生奖助学金评审委员会商议决定。</w:t>
      </w:r>
    </w:p>
    <w:p w14:paraId="54D8F10F">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7</w:t>
      </w:r>
      <w:r>
        <w:rPr>
          <w:rFonts w:hint="eastAsia" w:ascii="仿宋_GB2312" w:hAnsi="仿宋_GB2312" w:eastAsia="仿宋_GB2312" w:cs="仿宋_GB2312"/>
          <w:b w:val="0"/>
          <w:bCs w:val="0"/>
          <w:snapToGrid/>
          <w:color w:val="auto"/>
          <w:sz w:val="32"/>
          <w:szCs w:val="32"/>
          <w:lang w:eastAsia="zh-CN"/>
        </w:rPr>
        <w:t>）团体演出、团体竞赛获奖加分，按照总分数/总参加人数计算。</w:t>
      </w:r>
    </w:p>
    <w:p w14:paraId="450AB0DD">
      <w:pPr>
        <w:keepNext w:val="0"/>
        <w:keepLines w:val="0"/>
        <w:pageBreakBefore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w:t>
      </w:r>
      <w:r>
        <w:rPr>
          <w:rFonts w:hint="eastAsia" w:ascii="仿宋_GB2312" w:hAnsi="仿宋_GB2312" w:eastAsia="仿宋_GB2312" w:cs="仿宋_GB2312"/>
          <w:b w:val="0"/>
          <w:bCs w:val="0"/>
          <w:snapToGrid/>
          <w:color w:val="auto"/>
          <w:sz w:val="32"/>
          <w:szCs w:val="32"/>
          <w:lang w:val="en-US" w:eastAsia="zh-CN"/>
        </w:rPr>
        <w:t>8</w:t>
      </w:r>
      <w:r>
        <w:rPr>
          <w:rFonts w:hint="eastAsia" w:ascii="仿宋_GB2312" w:hAnsi="仿宋_GB2312" w:eastAsia="仿宋_GB2312" w:cs="仿宋_GB2312"/>
          <w:b w:val="0"/>
          <w:bCs w:val="0"/>
          <w:snapToGrid/>
          <w:color w:val="auto"/>
          <w:sz w:val="32"/>
          <w:szCs w:val="32"/>
          <w:lang w:eastAsia="zh-CN"/>
        </w:rPr>
        <w:t>）不同项目可累加,但累加仅计得分最高3项。</w:t>
      </w:r>
    </w:p>
    <w:p w14:paraId="462FF22A">
      <w:pPr>
        <w:keepNext w:val="0"/>
        <w:keepLines w:val="0"/>
        <w:pageBreakBefore w:val="0"/>
        <w:kinsoku/>
        <w:wordWrap/>
        <w:overflowPunct/>
        <w:topLinePunct w:val="0"/>
        <w:bidi w:val="0"/>
        <w:spacing w:line="540" w:lineRule="exact"/>
        <w:ind w:firstLine="64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bCs/>
          <w:snapToGrid/>
          <w:color w:val="auto"/>
          <w:sz w:val="32"/>
          <w:szCs w:val="32"/>
          <w:lang w:val="en-US" w:eastAsia="zh-CN"/>
        </w:rPr>
        <w:t xml:space="preserve">第十四条 </w:t>
      </w:r>
      <w:r>
        <w:rPr>
          <w:rFonts w:hint="eastAsia" w:ascii="仿宋_GB2312" w:hAnsi="仿宋_GB2312" w:eastAsia="仿宋_GB2312" w:cs="仿宋_GB2312"/>
          <w:b w:val="0"/>
          <w:bCs w:val="0"/>
          <w:snapToGrid/>
          <w:color w:val="auto"/>
          <w:sz w:val="32"/>
          <w:szCs w:val="32"/>
          <w:lang w:eastAsia="zh-CN"/>
        </w:rPr>
        <w:t>公益实践加分</w:t>
      </w:r>
    </w:p>
    <w:p w14:paraId="2EC7BF66">
      <w:pPr>
        <w:keepNext w:val="0"/>
        <w:keepLines w:val="0"/>
        <w:pageBreakBefore w:val="0"/>
        <w:kinsoku/>
        <w:wordWrap/>
        <w:overflowPunct/>
        <w:topLinePunct w:val="0"/>
        <w:bidi w:val="0"/>
        <w:spacing w:line="540" w:lineRule="exact"/>
        <w:ind w:firstLine="64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val="0"/>
          <w:bCs w:val="0"/>
          <w:snapToGrid/>
          <w:color w:val="auto"/>
          <w:sz w:val="32"/>
          <w:szCs w:val="32"/>
          <w:lang w:eastAsia="zh-CN"/>
        </w:rPr>
        <w:t>参评年度内参加学院内外公益志愿服务时长达10小时的，可加0.1分。在此基础上，志愿服务时长每增加10小时，可增加0.2分，以此类推。此类加分上限为3分。校内外志愿服务须提供主办单位出具的有效志愿服务证明或提供“i志愿”认证。</w:t>
      </w:r>
    </w:p>
    <w:p w14:paraId="40066C45">
      <w:pPr>
        <w:keepNext w:val="0"/>
        <w:keepLines w:val="0"/>
        <w:pageBreakBefore w:val="0"/>
        <w:kinsoku/>
        <w:wordWrap/>
        <w:overflowPunct/>
        <w:topLinePunct w:val="0"/>
        <w:bidi w:val="0"/>
        <w:spacing w:line="540" w:lineRule="exact"/>
        <w:jc w:val="center"/>
        <w:textAlignment w:val="auto"/>
        <w:rPr>
          <w:rFonts w:hint="eastAsia" w:ascii="黑体" w:hAnsi="黑体" w:eastAsia="黑体" w:cs="黑体"/>
          <w:b w:val="0"/>
          <w:bCs w:val="0"/>
          <w:snapToGrid/>
          <w:color w:val="auto"/>
          <w:sz w:val="32"/>
          <w:szCs w:val="32"/>
          <w:lang w:val="en-US" w:eastAsia="zh-CN"/>
        </w:rPr>
      </w:pPr>
      <w:r>
        <w:rPr>
          <w:rFonts w:hint="eastAsia" w:ascii="黑体" w:hAnsi="黑体" w:eastAsia="黑体" w:cs="黑体"/>
          <w:b w:val="0"/>
          <w:bCs w:val="0"/>
          <w:snapToGrid/>
          <w:color w:val="auto"/>
          <w:sz w:val="32"/>
          <w:szCs w:val="32"/>
          <w:lang w:val="en-US" w:eastAsia="zh-CN"/>
        </w:rPr>
        <w:t>第五章 附则</w:t>
      </w:r>
    </w:p>
    <w:p w14:paraId="298CCF71">
      <w:pPr>
        <w:keepNext w:val="0"/>
        <w:keepLines w:val="0"/>
        <w:pageBreakBefore w:val="0"/>
        <w:kinsoku/>
        <w:wordWrap/>
        <w:overflowPunct/>
        <w:topLinePunct w:val="0"/>
        <w:bidi w:val="0"/>
        <w:spacing w:line="540" w:lineRule="exact"/>
        <w:ind w:firstLine="640"/>
        <w:jc w:val="both"/>
        <w:textAlignment w:val="auto"/>
        <w:rPr>
          <w:rFonts w:hint="eastAsia" w:ascii="仿宋_GB2312" w:hAnsi="仿宋_GB2312" w:eastAsia="仿宋_GB2312" w:cs="仿宋_GB2312"/>
          <w:b w:val="0"/>
          <w:bCs w:val="0"/>
          <w:snapToGrid/>
          <w:color w:val="auto"/>
          <w:sz w:val="32"/>
          <w:szCs w:val="32"/>
          <w:highlight w:val="none"/>
          <w:lang w:val="en-US" w:eastAsia="zh-CN"/>
        </w:rPr>
      </w:pPr>
      <w:r>
        <w:rPr>
          <w:rFonts w:hint="eastAsia" w:ascii="仿宋_GB2312" w:hAnsi="仿宋_GB2312" w:eastAsia="仿宋_GB2312" w:cs="仿宋_GB2312"/>
          <w:b/>
          <w:bCs/>
          <w:snapToGrid/>
          <w:color w:val="auto"/>
          <w:sz w:val="32"/>
          <w:szCs w:val="32"/>
          <w:lang w:eastAsia="zh-CN"/>
        </w:rPr>
        <w:t>第</w:t>
      </w:r>
      <w:r>
        <w:rPr>
          <w:rFonts w:hint="eastAsia" w:ascii="仿宋_GB2312" w:hAnsi="仿宋_GB2312" w:eastAsia="仿宋_GB2312" w:cs="仿宋_GB2312"/>
          <w:b/>
          <w:bCs/>
          <w:snapToGrid/>
          <w:color w:val="auto"/>
          <w:sz w:val="32"/>
          <w:szCs w:val="32"/>
          <w:lang w:val="en-US" w:eastAsia="zh-CN"/>
        </w:rPr>
        <w:t>十五</w:t>
      </w:r>
      <w:r>
        <w:rPr>
          <w:rFonts w:hint="eastAsia" w:ascii="仿宋_GB2312" w:hAnsi="仿宋_GB2312" w:eastAsia="仿宋_GB2312" w:cs="仿宋_GB2312"/>
          <w:b/>
          <w:bCs/>
          <w:snapToGrid/>
          <w:color w:val="auto"/>
          <w:sz w:val="32"/>
          <w:szCs w:val="32"/>
          <w:lang w:eastAsia="zh-CN"/>
        </w:rPr>
        <w:t>条</w:t>
      </w:r>
      <w:r>
        <w:rPr>
          <w:rFonts w:hint="eastAsia" w:ascii="仿宋_GB2312" w:hAnsi="仿宋_GB2312" w:eastAsia="仿宋_GB2312" w:cs="仿宋_GB2312"/>
          <w:b w:val="0"/>
          <w:bCs w:val="0"/>
          <w:snapToGrid/>
          <w:color w:val="auto"/>
          <w:sz w:val="32"/>
          <w:szCs w:val="32"/>
          <w:lang w:eastAsia="zh-CN"/>
        </w:rPr>
        <w:t xml:space="preserve">  </w:t>
      </w:r>
      <w:r>
        <w:rPr>
          <w:rFonts w:hint="eastAsia" w:ascii="仿宋_GB2312" w:hAnsi="仿宋_GB2312" w:eastAsia="仿宋_GB2312" w:cs="仿宋_GB2312"/>
          <w:b w:val="0"/>
          <w:bCs w:val="0"/>
          <w:snapToGrid/>
          <w:color w:val="auto"/>
          <w:sz w:val="32"/>
          <w:szCs w:val="32"/>
          <w:highlight w:val="none"/>
          <w:lang w:eastAsia="zh-CN"/>
        </w:rPr>
        <w:t>以上第</w:t>
      </w:r>
      <w:r>
        <w:rPr>
          <w:rFonts w:hint="eastAsia" w:ascii="仿宋_GB2312" w:hAnsi="仿宋_GB2312" w:eastAsia="仿宋_GB2312" w:cs="仿宋_GB2312"/>
          <w:b w:val="0"/>
          <w:bCs w:val="0"/>
          <w:snapToGrid/>
          <w:color w:val="auto"/>
          <w:sz w:val="32"/>
          <w:szCs w:val="32"/>
          <w:highlight w:val="none"/>
          <w:lang w:val="en-US" w:eastAsia="zh-CN"/>
        </w:rPr>
        <w:t>十二、十三</w:t>
      </w:r>
      <w:r>
        <w:rPr>
          <w:rFonts w:hint="eastAsia" w:ascii="仿宋_GB2312" w:hAnsi="仿宋_GB2312" w:eastAsia="仿宋_GB2312" w:cs="仿宋_GB2312"/>
          <w:b w:val="0"/>
          <w:bCs w:val="0"/>
          <w:snapToGrid/>
          <w:color w:val="auto"/>
          <w:sz w:val="32"/>
          <w:szCs w:val="32"/>
          <w:highlight w:val="none"/>
          <w:lang w:eastAsia="zh-CN"/>
        </w:rPr>
        <w:t>和</w:t>
      </w:r>
      <w:r>
        <w:rPr>
          <w:rFonts w:hint="eastAsia" w:ascii="仿宋_GB2312" w:hAnsi="仿宋_GB2312" w:eastAsia="仿宋_GB2312" w:cs="仿宋_GB2312"/>
          <w:b w:val="0"/>
          <w:bCs w:val="0"/>
          <w:snapToGrid/>
          <w:color w:val="auto"/>
          <w:sz w:val="32"/>
          <w:szCs w:val="32"/>
          <w:highlight w:val="none"/>
          <w:lang w:val="en-US" w:eastAsia="zh-CN"/>
        </w:rPr>
        <w:t>十四条</w:t>
      </w:r>
      <w:r>
        <w:rPr>
          <w:rFonts w:hint="eastAsia" w:ascii="仿宋_GB2312" w:hAnsi="仿宋_GB2312" w:eastAsia="仿宋_GB2312" w:cs="仿宋_GB2312"/>
          <w:b w:val="0"/>
          <w:bCs w:val="0"/>
          <w:snapToGrid/>
          <w:color w:val="auto"/>
          <w:sz w:val="32"/>
          <w:szCs w:val="32"/>
          <w:highlight w:val="none"/>
          <w:lang w:eastAsia="zh-CN"/>
        </w:rPr>
        <w:t>（即学生工作和评优评先类，文艺、体育和志愿服务类）加分合计不超过10分</w:t>
      </w:r>
      <w:r>
        <w:rPr>
          <w:rFonts w:hint="eastAsia" w:ascii="仿宋_GB2312" w:hAnsi="仿宋_GB2312" w:eastAsia="仿宋_GB2312" w:cs="仿宋_GB2312"/>
          <w:b w:val="0"/>
          <w:bCs w:val="0"/>
          <w:snapToGrid/>
          <w:color w:val="auto"/>
          <w:sz w:val="32"/>
          <w:szCs w:val="32"/>
          <w:highlight w:val="none"/>
          <w:lang w:val="en-US" w:eastAsia="zh-CN"/>
        </w:rPr>
        <w:t>或取单项最高分</w:t>
      </w:r>
      <w:r>
        <w:rPr>
          <w:rFonts w:hint="eastAsia" w:ascii="仿宋_GB2312" w:hAnsi="仿宋_GB2312" w:eastAsia="仿宋_GB2312" w:cs="仿宋_GB2312"/>
          <w:b w:val="0"/>
          <w:bCs w:val="0"/>
          <w:snapToGrid/>
          <w:color w:val="auto"/>
          <w:sz w:val="32"/>
          <w:szCs w:val="32"/>
          <w:highlight w:val="none"/>
          <w:lang w:eastAsia="zh-CN"/>
        </w:rPr>
        <w:t>。</w:t>
      </w:r>
    </w:p>
    <w:p w14:paraId="23E1373D">
      <w:pPr>
        <w:keepNext w:val="0"/>
        <w:keepLines w:val="0"/>
        <w:pageBreakBefore w:val="0"/>
        <w:kinsoku/>
        <w:wordWrap/>
        <w:overflowPunct/>
        <w:topLinePunct w:val="0"/>
        <w:bidi w:val="0"/>
        <w:spacing w:line="540" w:lineRule="exact"/>
        <w:ind w:firstLine="643" w:firstLineChars="200"/>
        <w:jc w:val="both"/>
        <w:textAlignment w:val="auto"/>
        <w:rPr>
          <w:rFonts w:hint="eastAsia" w:ascii="仿宋_GB2312" w:hAnsi="仿宋_GB2312" w:eastAsia="仿宋_GB2312" w:cs="仿宋_GB2312"/>
          <w:b w:val="0"/>
          <w:bCs w:val="0"/>
          <w:snapToGrid/>
          <w:color w:val="auto"/>
          <w:sz w:val="32"/>
          <w:szCs w:val="32"/>
          <w:lang w:eastAsia="zh-CN"/>
        </w:rPr>
      </w:pPr>
      <w:r>
        <w:rPr>
          <w:rFonts w:hint="eastAsia" w:ascii="仿宋_GB2312" w:hAnsi="仿宋_GB2312" w:eastAsia="仿宋_GB2312" w:cs="仿宋_GB2312"/>
          <w:b/>
          <w:bCs/>
          <w:snapToGrid/>
          <w:color w:val="auto"/>
          <w:sz w:val="32"/>
          <w:szCs w:val="32"/>
          <w:lang w:eastAsia="zh-CN"/>
        </w:rPr>
        <w:t>第十</w:t>
      </w:r>
      <w:r>
        <w:rPr>
          <w:rFonts w:hint="eastAsia" w:ascii="仿宋_GB2312" w:hAnsi="仿宋_GB2312" w:eastAsia="仿宋_GB2312" w:cs="仿宋_GB2312"/>
          <w:b/>
          <w:bCs/>
          <w:snapToGrid/>
          <w:color w:val="auto"/>
          <w:sz w:val="32"/>
          <w:szCs w:val="32"/>
          <w:lang w:val="en-US" w:eastAsia="zh-CN"/>
        </w:rPr>
        <w:t>六</w:t>
      </w:r>
      <w:r>
        <w:rPr>
          <w:rFonts w:hint="eastAsia" w:ascii="仿宋_GB2312" w:hAnsi="仿宋_GB2312" w:eastAsia="仿宋_GB2312" w:cs="仿宋_GB2312"/>
          <w:b/>
          <w:bCs/>
          <w:snapToGrid/>
          <w:color w:val="auto"/>
          <w:sz w:val="32"/>
          <w:szCs w:val="32"/>
          <w:lang w:eastAsia="zh-CN"/>
        </w:rPr>
        <w:t>条</w:t>
      </w:r>
      <w:r>
        <w:rPr>
          <w:rFonts w:hint="eastAsia" w:ascii="仿宋_GB2312" w:hAnsi="仿宋_GB2312" w:eastAsia="仿宋_GB2312" w:cs="仿宋_GB2312"/>
          <w:b w:val="0"/>
          <w:bCs w:val="0"/>
          <w:snapToGrid/>
          <w:color w:val="auto"/>
          <w:sz w:val="32"/>
          <w:szCs w:val="32"/>
          <w:lang w:eastAsia="zh-CN"/>
        </w:rPr>
        <w:t xml:space="preserve"> 本综合测评成绩计算分值标准适用于评奖周期为2026年及以后的奖助金加分。</w:t>
      </w:r>
    </w:p>
    <w:p w14:paraId="75252825">
      <w:pPr>
        <w:kinsoku/>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p>
    <w:p w14:paraId="7BCCAB6B">
      <w:pPr>
        <w:kinsoku/>
        <w:spacing w:line="540" w:lineRule="exact"/>
        <w:ind w:firstLine="640" w:firstLineChars="200"/>
        <w:jc w:val="both"/>
        <w:textAlignment w:val="auto"/>
        <w:rPr>
          <w:rFonts w:hint="eastAsia" w:ascii="仿宋_GB2312" w:hAnsi="仿宋_GB2312" w:eastAsia="仿宋_GB2312" w:cs="仿宋_GB2312"/>
          <w:b w:val="0"/>
          <w:bCs w:val="0"/>
          <w:snapToGrid/>
          <w:color w:val="auto"/>
          <w:sz w:val="32"/>
          <w:szCs w:val="32"/>
          <w:lang w:eastAsia="zh-CN"/>
        </w:rPr>
      </w:pPr>
    </w:p>
    <w:p w14:paraId="651EE450">
      <w:pPr>
        <w:widowControl w:val="0"/>
        <w:kinsoku/>
        <w:autoSpaceDE/>
        <w:autoSpaceDN/>
        <w:spacing w:line="540" w:lineRule="exact"/>
        <w:ind w:right="280"/>
        <w:jc w:val="right"/>
        <w:textAlignment w:val="auto"/>
        <w:rPr>
          <w:rFonts w:hint="eastAsia" w:ascii="仿宋_GB2312" w:hAnsi="仿宋_GB2312" w:eastAsia="仿宋_GB2312" w:cs="仿宋_GB2312"/>
          <w:b w:val="0"/>
          <w:bCs w:val="0"/>
          <w:snapToGrid/>
          <w:color w:val="auto"/>
          <w:kern w:val="2"/>
          <w:sz w:val="32"/>
          <w:szCs w:val="32"/>
          <w:lang w:eastAsia="zh-CN"/>
        </w:rPr>
      </w:pPr>
      <w:r>
        <w:rPr>
          <w:rFonts w:hint="eastAsia" w:ascii="仿宋_GB2312" w:hAnsi="仿宋_GB2312" w:eastAsia="仿宋_GB2312" w:cs="仿宋_GB2312"/>
          <w:b w:val="0"/>
          <w:bCs w:val="0"/>
          <w:snapToGrid/>
          <w:color w:val="auto"/>
          <w:kern w:val="2"/>
          <w:sz w:val="32"/>
          <w:szCs w:val="32"/>
          <w:lang w:eastAsia="zh-CN"/>
        </w:rPr>
        <w:t xml:space="preserve">      中山大学土木工程学院</w:t>
      </w:r>
    </w:p>
    <w:p w14:paraId="7CF270E4">
      <w:pPr>
        <w:widowControl w:val="0"/>
        <w:kinsoku/>
        <w:autoSpaceDE/>
        <w:autoSpaceDN/>
        <w:spacing w:line="540" w:lineRule="exact"/>
        <w:ind w:right="280"/>
        <w:jc w:val="right"/>
        <w:textAlignment w:val="auto"/>
        <w:rPr>
          <w:rFonts w:hint="eastAsia" w:ascii="仿宋_GB2312" w:hAnsi="仿宋_GB2312" w:eastAsia="仿宋_GB2312" w:cs="仿宋_GB2312"/>
          <w:b w:val="0"/>
          <w:bCs w:val="0"/>
          <w:color w:val="auto"/>
          <w:spacing w:val="-7"/>
          <w:sz w:val="32"/>
          <w:szCs w:val="32"/>
          <w:lang w:eastAsia="zh-CN"/>
        </w:rPr>
      </w:pPr>
      <w:r>
        <w:rPr>
          <w:rFonts w:hint="eastAsia" w:ascii="仿宋_GB2312" w:hAnsi="仿宋_GB2312" w:eastAsia="仿宋_GB2312" w:cs="仿宋_GB2312"/>
          <w:b w:val="0"/>
          <w:bCs w:val="0"/>
          <w:snapToGrid/>
          <w:color w:val="auto"/>
          <w:kern w:val="2"/>
          <w:sz w:val="32"/>
          <w:szCs w:val="32"/>
          <w:lang w:eastAsia="zh-CN"/>
        </w:rPr>
        <w:t>2025年1</w:t>
      </w:r>
      <w:r>
        <w:rPr>
          <w:rFonts w:hint="eastAsia" w:ascii="仿宋_GB2312" w:hAnsi="仿宋_GB2312" w:eastAsia="仿宋_GB2312" w:cs="仿宋_GB2312"/>
          <w:b w:val="0"/>
          <w:bCs w:val="0"/>
          <w:snapToGrid/>
          <w:color w:val="auto"/>
          <w:kern w:val="2"/>
          <w:sz w:val="32"/>
          <w:szCs w:val="32"/>
          <w:lang w:val="en-US" w:eastAsia="zh-CN"/>
        </w:rPr>
        <w:t>1</w:t>
      </w:r>
      <w:r>
        <w:rPr>
          <w:rFonts w:hint="eastAsia" w:ascii="仿宋_GB2312" w:hAnsi="仿宋_GB2312" w:eastAsia="仿宋_GB2312" w:cs="仿宋_GB2312"/>
          <w:b w:val="0"/>
          <w:bCs w:val="0"/>
          <w:snapToGrid/>
          <w:color w:val="auto"/>
          <w:kern w:val="2"/>
          <w:sz w:val="32"/>
          <w:szCs w:val="32"/>
          <w:lang w:eastAsia="zh-CN"/>
        </w:rPr>
        <w:t>月</w:t>
      </w:r>
      <w:r>
        <w:rPr>
          <w:rFonts w:hint="eastAsia" w:ascii="仿宋_GB2312" w:hAnsi="仿宋_GB2312" w:eastAsia="仿宋_GB2312" w:cs="仿宋_GB2312"/>
          <w:b w:val="0"/>
          <w:bCs w:val="0"/>
          <w:snapToGrid/>
          <w:color w:val="auto"/>
          <w:kern w:val="2"/>
          <w:sz w:val="32"/>
          <w:szCs w:val="32"/>
          <w:lang w:val="en-US" w:eastAsia="zh-CN"/>
        </w:rPr>
        <w:t>26</w:t>
      </w:r>
      <w:r>
        <w:rPr>
          <w:rFonts w:hint="eastAsia" w:ascii="仿宋_GB2312" w:hAnsi="仿宋_GB2312" w:eastAsia="仿宋_GB2312" w:cs="仿宋_GB2312"/>
          <w:b w:val="0"/>
          <w:bCs w:val="0"/>
          <w:snapToGrid/>
          <w:color w:val="auto"/>
          <w:kern w:val="2"/>
          <w:sz w:val="32"/>
          <w:szCs w:val="32"/>
          <w:lang w:eastAsia="zh-CN"/>
        </w:rPr>
        <w:t>日</w:t>
      </w:r>
    </w:p>
    <w:sectPr>
      <w:footerReference r:id="rId4" w:type="default"/>
      <w:pgSz w:w="11906" w:h="16839"/>
      <w:pgMar w:top="1440" w:right="1080" w:bottom="1440" w:left="1080" w:header="0" w:footer="987" w:gutter="0"/>
      <w:pgNumType w:fmt="decimal"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AC3635B-0382-495C-8556-2E3992AAAF7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48CEA75-DB6C-450D-A735-E0DFD3AE3C77}"/>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embedRegular r:id="rId3" w:fontKey="{BB7AF356-C39A-4E2E-B0CF-CE7F150F9880}"/>
  </w:font>
  <w:font w:name="仿宋_GB2312">
    <w:panose1 w:val="02010609030101010101"/>
    <w:charset w:val="86"/>
    <w:family w:val="modern"/>
    <w:pitch w:val="default"/>
    <w:sig w:usb0="00000001" w:usb1="080E0000" w:usb2="00000000" w:usb3="00000000" w:csb0="00040000" w:csb1="00000000"/>
    <w:embedRegular r:id="rId4" w:fontKey="{36E34B29-E494-4F4E-9234-29EAF2ADF59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58799">
    <w:pPr>
      <w:spacing w:line="167" w:lineRule="auto"/>
      <w:ind w:left="4512"/>
      <w:rPr>
        <w:rFonts w:ascii="Calibri" w:hAnsi="Calibri"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1E0D9B">
                          <w:pPr>
                            <w:pStyle w:val="5"/>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59264;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alSs7WAAAABgEAAA8AAAAAAAAAAQAgAAAAIgAAAGRycy9kb3ducmV2LnhtbFBL&#10;AQIUABQAAAAIAIdO4kAM5UmvMQIAAF8EAAAOAAAAAAAAAAEAIAAAACUBAABkcnMvZTJvRG9jLnht&#10;bFBLBQYAAAAABgAGAFkBAADIBQAAAAA=&#10;">
              <v:fill on="f" focussize="0,0"/>
              <v:stroke on="f" weight="0.5pt"/>
              <v:imagedata o:title=""/>
              <o:lock v:ext="edit" aspectratio="f"/>
              <v:textbox inset="16pt,0mm,16pt,0mm" style="mso-fit-shape-to-text:t;">
                <w:txbxContent>
                  <w:p w14:paraId="611E0D9B">
                    <w:pPr>
                      <w:pStyle w:val="5"/>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8957B">
    <w:pPr>
      <w:spacing w:line="167" w:lineRule="auto"/>
      <w:ind w:left="4512"/>
      <w:rPr>
        <w:rFonts w:ascii="Calibri" w:hAnsi="Calibri" w:eastAsia="Calibri" w:cs="Calibri"/>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3353AB">
                          <w:pPr>
                            <w:pStyle w:val="5"/>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60288;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alSs7WAAAABgEAAA8AAAAAAAAAAQAgAAAAIgAAAGRycy9kb3ducmV2LnhtbFBL&#10;AQIUABQAAAAIAIdO4kB5N8eTMQIAAF8EAAAOAAAAAAAAAAEAIAAAACUBAABkcnMvZTJvRG9jLnht&#10;bFBLBQYAAAAABgAGAFkBAADIBQAAAAA=&#10;">
              <v:fill on="f" focussize="0,0"/>
              <v:stroke on="f" weight="0.5pt"/>
              <v:imagedata o:title=""/>
              <o:lock v:ext="edit" aspectratio="f"/>
              <v:textbox inset="16pt,0mm,16pt,0mm" style="mso-fit-shape-to-text:t;">
                <w:txbxContent>
                  <w:p w14:paraId="433353AB">
                    <w:pPr>
                      <w:pStyle w:val="5"/>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8E943"/>
    <w:multiLevelType w:val="singleLevel"/>
    <w:tmpl w:val="DEF8E943"/>
    <w:lvl w:ilvl="0" w:tentative="0">
      <w:start w:val="1"/>
      <w:numFmt w:val="chineseCounting"/>
      <w:suff w:val="nothing"/>
      <w:lvlText w:val="（%1）"/>
      <w:lvlJc w:val="left"/>
      <w:rPr>
        <w:rFonts w:hint="eastAsia"/>
      </w:rPr>
    </w:lvl>
  </w:abstractNum>
  <w:abstractNum w:abstractNumId="1">
    <w:nsid w:val="EE3C837B"/>
    <w:multiLevelType w:val="singleLevel"/>
    <w:tmpl w:val="EE3C837B"/>
    <w:lvl w:ilvl="0" w:tentative="0">
      <w:start w:val="1"/>
      <w:numFmt w:val="decimal"/>
      <w:suff w:val="nothing"/>
      <w:lvlText w:val="（%1）"/>
      <w:lvlJc w:val="left"/>
    </w:lvl>
  </w:abstractNum>
  <w:abstractNum w:abstractNumId="2">
    <w:nsid w:val="FF6D057F"/>
    <w:multiLevelType w:val="singleLevel"/>
    <w:tmpl w:val="FF6D057F"/>
    <w:lvl w:ilvl="0" w:tentative="0">
      <w:start w:val="1"/>
      <w:numFmt w:val="decimal"/>
      <w:suff w:val="nothing"/>
      <w:lvlText w:val="（%1）"/>
      <w:lvlJc w:val="left"/>
    </w:lvl>
  </w:abstractNum>
  <w:abstractNum w:abstractNumId="3">
    <w:nsid w:val="08FC8F32"/>
    <w:multiLevelType w:val="singleLevel"/>
    <w:tmpl w:val="08FC8F32"/>
    <w:lvl w:ilvl="0" w:tentative="0">
      <w:start w:val="2"/>
      <w:numFmt w:val="decimal"/>
      <w:suff w:val="nothing"/>
      <w:lvlText w:val="（%1）"/>
      <w:lvlJc w:val="left"/>
    </w:lvl>
  </w:abstractNum>
  <w:abstractNum w:abstractNumId="4">
    <w:nsid w:val="62D2D690"/>
    <w:multiLevelType w:val="singleLevel"/>
    <w:tmpl w:val="62D2D690"/>
    <w:lvl w:ilvl="0" w:tentative="0">
      <w:start w:val="1"/>
      <w:numFmt w:val="decimal"/>
      <w:suff w:val="nothing"/>
      <w:lvlText w:val="（%1）"/>
      <w:lvlJc w:val="left"/>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documentProtection w:enforcement="0"/>
  <w:defaultTabStop w:val="420"/>
  <w:noPunctuationKerning w:val="1"/>
  <w:characterSpacingControl w:val="doNotCompress"/>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UxOGQ4OWEyY2FhYTBlYjU0MDIyNDA0NTQ4ZjVjZWEifQ=="/>
  </w:docVars>
  <w:rsids>
    <w:rsidRoot w:val="00F57321"/>
    <w:rsid w:val="00024E61"/>
    <w:rsid w:val="00032321"/>
    <w:rsid w:val="000A3E09"/>
    <w:rsid w:val="0036661C"/>
    <w:rsid w:val="003706E5"/>
    <w:rsid w:val="003E5B1D"/>
    <w:rsid w:val="00405ACB"/>
    <w:rsid w:val="00423B9E"/>
    <w:rsid w:val="004445E6"/>
    <w:rsid w:val="00494434"/>
    <w:rsid w:val="00740F08"/>
    <w:rsid w:val="00785D11"/>
    <w:rsid w:val="007A5D5E"/>
    <w:rsid w:val="00845777"/>
    <w:rsid w:val="008877A7"/>
    <w:rsid w:val="008A48D9"/>
    <w:rsid w:val="009A50CB"/>
    <w:rsid w:val="009B73E7"/>
    <w:rsid w:val="009C2961"/>
    <w:rsid w:val="009F1DE8"/>
    <w:rsid w:val="00A851A9"/>
    <w:rsid w:val="00AD3304"/>
    <w:rsid w:val="00AF67E7"/>
    <w:rsid w:val="00B33E7E"/>
    <w:rsid w:val="00D84FD0"/>
    <w:rsid w:val="00E6695E"/>
    <w:rsid w:val="00EA3045"/>
    <w:rsid w:val="00EC10E4"/>
    <w:rsid w:val="00F052FE"/>
    <w:rsid w:val="00F57321"/>
    <w:rsid w:val="00F60063"/>
    <w:rsid w:val="023A2E4D"/>
    <w:rsid w:val="02790FE3"/>
    <w:rsid w:val="03CE50F7"/>
    <w:rsid w:val="040F6CAD"/>
    <w:rsid w:val="04A80D30"/>
    <w:rsid w:val="061A7B87"/>
    <w:rsid w:val="0B424BF1"/>
    <w:rsid w:val="0BCB720C"/>
    <w:rsid w:val="0C5B0590"/>
    <w:rsid w:val="0D75742F"/>
    <w:rsid w:val="0D991370"/>
    <w:rsid w:val="0EEA79A9"/>
    <w:rsid w:val="0F5B53E3"/>
    <w:rsid w:val="10AE2435"/>
    <w:rsid w:val="11B83D8F"/>
    <w:rsid w:val="11D7626B"/>
    <w:rsid w:val="13B011C1"/>
    <w:rsid w:val="14257969"/>
    <w:rsid w:val="146351FD"/>
    <w:rsid w:val="154A2F50"/>
    <w:rsid w:val="15C97172"/>
    <w:rsid w:val="16AC0EB7"/>
    <w:rsid w:val="17836DA1"/>
    <w:rsid w:val="187E5515"/>
    <w:rsid w:val="19E82D37"/>
    <w:rsid w:val="1AFD2F6B"/>
    <w:rsid w:val="1C684DCA"/>
    <w:rsid w:val="1D5030CD"/>
    <w:rsid w:val="1DB102DB"/>
    <w:rsid w:val="1E00370F"/>
    <w:rsid w:val="1F1201AE"/>
    <w:rsid w:val="1F185E6D"/>
    <w:rsid w:val="2287731C"/>
    <w:rsid w:val="23390E12"/>
    <w:rsid w:val="23CE2F9E"/>
    <w:rsid w:val="243D7ED5"/>
    <w:rsid w:val="260F77F4"/>
    <w:rsid w:val="26DB0106"/>
    <w:rsid w:val="2992640C"/>
    <w:rsid w:val="2A3C6EB3"/>
    <w:rsid w:val="2AEF4783"/>
    <w:rsid w:val="2B713186"/>
    <w:rsid w:val="2C527769"/>
    <w:rsid w:val="3296737C"/>
    <w:rsid w:val="342142BB"/>
    <w:rsid w:val="35912591"/>
    <w:rsid w:val="388E340F"/>
    <w:rsid w:val="38BD29F9"/>
    <w:rsid w:val="3A15327D"/>
    <w:rsid w:val="3CE05DC4"/>
    <w:rsid w:val="3CFF0EC0"/>
    <w:rsid w:val="3D7646D3"/>
    <w:rsid w:val="3E0E070F"/>
    <w:rsid w:val="3EF94F1B"/>
    <w:rsid w:val="3F725E15"/>
    <w:rsid w:val="410D1152"/>
    <w:rsid w:val="4168377D"/>
    <w:rsid w:val="42DE2293"/>
    <w:rsid w:val="43EC504E"/>
    <w:rsid w:val="444341B7"/>
    <w:rsid w:val="44BF57A0"/>
    <w:rsid w:val="453B44DF"/>
    <w:rsid w:val="457B05AE"/>
    <w:rsid w:val="45C81AEB"/>
    <w:rsid w:val="4B607574"/>
    <w:rsid w:val="4B645008"/>
    <w:rsid w:val="519670B3"/>
    <w:rsid w:val="531920D9"/>
    <w:rsid w:val="532F31A9"/>
    <w:rsid w:val="5369498A"/>
    <w:rsid w:val="56C95039"/>
    <w:rsid w:val="57FF22FC"/>
    <w:rsid w:val="59FF0D70"/>
    <w:rsid w:val="5A16169F"/>
    <w:rsid w:val="5B3461A0"/>
    <w:rsid w:val="5BF96F02"/>
    <w:rsid w:val="5BFCFD62"/>
    <w:rsid w:val="5DBC388C"/>
    <w:rsid w:val="5E2200B6"/>
    <w:rsid w:val="605F25E2"/>
    <w:rsid w:val="61CE1DDF"/>
    <w:rsid w:val="64170842"/>
    <w:rsid w:val="67BD419A"/>
    <w:rsid w:val="6841330B"/>
    <w:rsid w:val="6893229E"/>
    <w:rsid w:val="6A34615C"/>
    <w:rsid w:val="6B58004A"/>
    <w:rsid w:val="6BBB6EB9"/>
    <w:rsid w:val="6BC77FCB"/>
    <w:rsid w:val="6D6D6950"/>
    <w:rsid w:val="6EA12D56"/>
    <w:rsid w:val="6EB86535"/>
    <w:rsid w:val="70AB7EBB"/>
    <w:rsid w:val="721E646B"/>
    <w:rsid w:val="72C96F26"/>
    <w:rsid w:val="7301785D"/>
    <w:rsid w:val="73E831D5"/>
    <w:rsid w:val="742919B9"/>
    <w:rsid w:val="74C411D9"/>
    <w:rsid w:val="74E90FB2"/>
    <w:rsid w:val="75B25A51"/>
    <w:rsid w:val="75D72D9F"/>
    <w:rsid w:val="77734F08"/>
    <w:rsid w:val="79406BEF"/>
    <w:rsid w:val="79AF6098"/>
    <w:rsid w:val="7B4C70EB"/>
    <w:rsid w:val="7BA67BFD"/>
    <w:rsid w:val="7CFF6EA9"/>
    <w:rsid w:val="7E7F64E4"/>
    <w:rsid w:val="7F7E62BA"/>
    <w:rsid w:val="7FBF6CF0"/>
    <w:rsid w:val="ABFFAB17"/>
    <w:rsid w:val="BF5B7484"/>
    <w:rsid w:val="C5BFC233"/>
    <w:rsid w:val="DAFBEFE1"/>
    <w:rsid w:val="E1AB723B"/>
    <w:rsid w:val="F7F6E33D"/>
    <w:rsid w:val="FFADF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style>
  <w:style w:type="paragraph" w:styleId="3">
    <w:name w:val="Body Text"/>
    <w:basedOn w:val="1"/>
    <w:semiHidden/>
    <w:qFormat/>
    <w:uiPriority w:val="0"/>
    <w:rPr>
      <w:rFonts w:ascii="仿宋" w:hAnsi="仿宋" w:eastAsia="仿宋" w:cs="仿宋"/>
      <w:sz w:val="31"/>
      <w:szCs w:val="31"/>
    </w:rPr>
  </w:style>
  <w:style w:type="paragraph" w:styleId="4">
    <w:name w:val="Balloon Text"/>
    <w:basedOn w:val="1"/>
    <w:link w:val="18"/>
    <w:qFormat/>
    <w:uiPriority w:val="0"/>
    <w:rPr>
      <w:sz w:val="18"/>
      <w:szCs w:val="18"/>
    </w:rPr>
  </w:style>
  <w:style w:type="paragraph" w:styleId="5">
    <w:name w:val="footer"/>
    <w:qFormat/>
    <w:uiPriority w:val="99"/>
    <w:pPr>
      <w:widowControl w:val="0"/>
      <w:tabs>
        <w:tab w:val="center" w:pos="4153"/>
        <w:tab w:val="right" w:pos="8306"/>
      </w:tabs>
      <w:snapToGrid w:val="0"/>
    </w:pPr>
    <w:rPr>
      <w:rFonts w:ascii="Cambria" w:hAnsi="Cambria" w:eastAsia="宋体" w:cs="宋体"/>
      <w:kern w:val="2"/>
      <w:sz w:val="18"/>
      <w:szCs w:val="18"/>
      <w:lang w:val="en-US" w:eastAsia="zh-CN" w:bidi="ar-SA"/>
    </w:rPr>
  </w:style>
  <w:style w:type="paragraph" w:styleId="6">
    <w:name w:val="header"/>
    <w:basedOn w:val="1"/>
    <w:link w:val="14"/>
    <w:qFormat/>
    <w:uiPriority w:val="0"/>
    <w:pPr>
      <w:tabs>
        <w:tab w:val="center" w:pos="4153"/>
        <w:tab w:val="right" w:pos="8306"/>
      </w:tabs>
      <w:jc w:val="center"/>
    </w:pPr>
    <w:rPr>
      <w:sz w:val="18"/>
      <w:szCs w:val="18"/>
    </w:rPr>
  </w:style>
  <w:style w:type="paragraph" w:styleId="7">
    <w:name w:val="annotation subject"/>
    <w:basedOn w:val="2"/>
    <w:next w:val="2"/>
    <w:link w:val="17"/>
    <w:qFormat/>
    <w:uiPriority w:val="0"/>
    <w:rPr>
      <w:b/>
      <w:bCs/>
    </w:rPr>
  </w:style>
  <w:style w:type="table" w:styleId="9">
    <w:name w:val="Table Gri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1">
    <w:name w:val="Hyperlink"/>
    <w:basedOn w:val="10"/>
    <w:qFormat/>
    <w:uiPriority w:val="0"/>
    <w:rPr>
      <w:color w:val="0000FF" w:themeColor="hyperlink"/>
      <w:u w:val="single"/>
      <w14:textFill>
        <w14:solidFill>
          <w14:schemeClr w14:val="hlink"/>
        </w14:solidFill>
      </w14:textFill>
    </w:rPr>
  </w:style>
  <w:style w:type="character" w:styleId="12">
    <w:name w:val="annotation reference"/>
    <w:basedOn w:val="10"/>
    <w:qFormat/>
    <w:uiPriority w:val="0"/>
    <w:rPr>
      <w:sz w:val="21"/>
      <w:szCs w:val="21"/>
    </w:rPr>
  </w:style>
  <w:style w:type="table" w:customStyle="1" w:styleId="13">
    <w:name w:val="Table Normal_0"/>
    <w:semiHidden/>
    <w:unhideWhenUsed/>
    <w:qFormat/>
    <w:uiPriority w:val="0"/>
    <w:tblPr>
      <w:tblCellMar>
        <w:top w:w="0" w:type="dxa"/>
        <w:left w:w="0" w:type="dxa"/>
        <w:bottom w:w="0" w:type="dxa"/>
        <w:right w:w="0" w:type="dxa"/>
      </w:tblCellMar>
    </w:tblPr>
  </w:style>
  <w:style w:type="character" w:customStyle="1" w:styleId="14">
    <w:name w:val="页眉 字符"/>
    <w:basedOn w:val="10"/>
    <w:link w:val="6"/>
    <w:qFormat/>
    <w:uiPriority w:val="0"/>
    <w:rPr>
      <w:rFonts w:eastAsia="Arial"/>
      <w:snapToGrid w:val="0"/>
      <w:color w:val="000000"/>
      <w:sz w:val="18"/>
      <w:szCs w:val="18"/>
      <w:lang w:eastAsia="en-US"/>
    </w:rPr>
  </w:style>
  <w:style w:type="paragraph" w:customStyle="1" w:styleId="15">
    <w:name w:val="修订1"/>
    <w:hidden/>
    <w:unhideWhenUsed/>
    <w:qFormat/>
    <w:uiPriority w:val="99"/>
    <w:rPr>
      <w:rFonts w:ascii="Arial" w:hAnsi="Arial" w:eastAsia="Arial" w:cs="Arial"/>
      <w:snapToGrid w:val="0"/>
      <w:color w:val="000000"/>
      <w:sz w:val="21"/>
      <w:szCs w:val="21"/>
      <w:lang w:val="en-US" w:eastAsia="en-US" w:bidi="ar-SA"/>
    </w:rPr>
  </w:style>
  <w:style w:type="character" w:customStyle="1" w:styleId="16">
    <w:name w:val="批注文字 字符"/>
    <w:basedOn w:val="10"/>
    <w:link w:val="2"/>
    <w:qFormat/>
    <w:uiPriority w:val="0"/>
    <w:rPr>
      <w:rFonts w:ascii="Arial" w:hAnsi="Arial" w:eastAsia="Arial" w:cs="Arial"/>
      <w:snapToGrid w:val="0"/>
      <w:color w:val="000000"/>
      <w:sz w:val="21"/>
      <w:szCs w:val="21"/>
      <w:lang w:eastAsia="en-US"/>
    </w:rPr>
  </w:style>
  <w:style w:type="character" w:customStyle="1" w:styleId="17">
    <w:name w:val="批注主题 字符"/>
    <w:basedOn w:val="16"/>
    <w:link w:val="7"/>
    <w:qFormat/>
    <w:uiPriority w:val="0"/>
    <w:rPr>
      <w:rFonts w:ascii="Arial" w:hAnsi="Arial" w:eastAsia="Arial" w:cs="Arial"/>
      <w:b/>
      <w:bCs/>
      <w:snapToGrid w:val="0"/>
      <w:color w:val="000000"/>
      <w:sz w:val="21"/>
      <w:szCs w:val="21"/>
      <w:lang w:eastAsia="en-US"/>
    </w:rPr>
  </w:style>
  <w:style w:type="character" w:customStyle="1" w:styleId="18">
    <w:name w:val="批注框文本 字符"/>
    <w:basedOn w:val="10"/>
    <w:link w:val="4"/>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中山大学</Company>
  <Pages>22</Pages>
  <Words>3015</Words>
  <Characters>3029</Characters>
  <Lines>79</Lines>
  <Paragraphs>22</Paragraphs>
  <TotalTime>63</TotalTime>
  <ScaleCrop>false</ScaleCrop>
  <LinksUpToDate>false</LinksUpToDate>
  <CharactersWithSpaces>3089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2025-10-30T04:40:00Z</dcterms:created>
  <dc:creator>jimmy</dc:creator>
  <cp:lastModifiedBy>Jimmy侠</cp:lastModifiedBy>
  <cp:lastPrinted>2025-11-26T10:12:00Z</cp:lastPrinted>
  <dcterms:modified xsi:type="dcterms:W3CDTF">2026-08-04T08:40:01Z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2023-09-05T21:19:10Z</vt:filetime>
  </property>
  <property fmtid="{D5CDD505-2E9C-101B-9397-08002B2CF9AE}" pid="3" name="CRO">
    <vt:lpwstr>wqlLaW5nc29mdCBQREYgdG8gV1BTIDkw</vt:lpwstr>
  </property>
  <property fmtid="{D5CDD505-2E9C-101B-9397-08002B2CF9AE}" pid="4" name="ICV">
    <vt:lpwstr>D7984002E83E46D6AC245C3FC83FDF35_13</vt:lpwstr>
  </property>
  <property fmtid="{D5CDD505-2E9C-101B-9397-08002B2CF9AE}" pid="5" name="KSOProductBuildVer">
    <vt:lpwstr>2052-12.1.0.28043</vt:lpwstr>
  </property>
  <property fmtid="{D5CDD505-2E9C-101B-9397-08002B2CF9AE}" pid="6" name="KSOTemplateDocerSaveRecord">
    <vt:lpwstr>eyJoZGlkIjoiYTBkOGMzNTgyNTY4NjI5OTI1ZWQzZDcwNjBiZDFhOTUiLCJ1c2VySWQiOiI2MDUwMzg5NjAifQ==</vt:lpwstr>
  </property>
</Properties>
</file>